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59EA81A0" w:rsidR="00BD21BC" w:rsidRPr="00DD406A" w:rsidRDefault="005F5353" w:rsidP="00BD21BC">
      <w:pPr>
        <w:pStyle w:val="Title"/>
        <w:tabs>
          <w:tab w:val="left" w:pos="709"/>
          <w:tab w:val="right" w:pos="9639"/>
        </w:tabs>
        <w:wordWrap w:val="0"/>
        <w:spacing w:before="0" w:after="0"/>
        <w:ind w:right="120"/>
        <w:jc w:val="right"/>
        <w:outlineLvl w:val="9"/>
        <w:rPr>
          <w:rFonts w:eastAsia="MS Mincho" w:cs="Arial"/>
          <w:kern w:val="0"/>
          <w:sz w:val="24"/>
          <w:highlight w:val="yellow"/>
          <w:lang w:val="en-US" w:eastAsia="en-US"/>
        </w:rPr>
      </w:pPr>
      <w:r w:rsidRPr="005F5353">
        <w:rPr>
          <w:rFonts w:eastAsia="MS Mincho" w:cs="Arial"/>
          <w:kern w:val="0"/>
          <w:sz w:val="24"/>
          <w:lang w:val="en-US" w:eastAsia="en-US"/>
        </w:rPr>
        <w:t>3GPP TSG-RAN1 NB-IOT Ad Hoc</w:t>
      </w:r>
      <w:r w:rsidR="00BD21BC" w:rsidRPr="005F5353">
        <w:rPr>
          <w:rFonts w:eastAsia="MS Mincho" w:cs="Arial"/>
          <w:kern w:val="0"/>
          <w:sz w:val="24"/>
          <w:lang w:val="en-US" w:eastAsia="en-US"/>
        </w:rPr>
        <w:tab/>
        <w:t>R</w:t>
      </w:r>
      <w:r w:rsidR="00582D4B" w:rsidRPr="005F5353">
        <w:rPr>
          <w:rFonts w:eastAsia="MS Mincho" w:cs="Arial"/>
          <w:kern w:val="0"/>
          <w:sz w:val="24"/>
          <w:lang w:val="en-US" w:eastAsia="en-US"/>
        </w:rPr>
        <w:t>1</w:t>
      </w:r>
      <w:r w:rsidR="00BD21BC" w:rsidRPr="005A2929">
        <w:rPr>
          <w:rFonts w:eastAsia="MS Mincho" w:cs="Arial"/>
          <w:kern w:val="0"/>
          <w:sz w:val="24"/>
          <w:lang w:val="en-US" w:eastAsia="en-US"/>
        </w:rPr>
        <w:t>-</w:t>
      </w:r>
      <w:r w:rsidR="00171F87" w:rsidRPr="005A2929">
        <w:rPr>
          <w:rFonts w:eastAsia="MS Mincho" w:cs="Arial"/>
          <w:kern w:val="0"/>
          <w:sz w:val="24"/>
          <w:lang w:val="en-US" w:eastAsia="en-US"/>
        </w:rPr>
        <w:t>160076</w:t>
      </w:r>
    </w:p>
    <w:p w14:paraId="51C05F98" w14:textId="162C021F" w:rsidR="00BD21BC" w:rsidRPr="00721F22" w:rsidRDefault="00721F2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sidR="00467279">
        <w:rPr>
          <w:rFonts w:eastAsia="MS Mincho" w:cs="Arial"/>
          <w:kern w:val="0"/>
          <w:sz w:val="24"/>
          <w:lang w:val="en-US" w:eastAsia="en-US"/>
        </w:rPr>
        <w:t>8</w:t>
      </w:r>
      <w:r w:rsidRPr="00721F22">
        <w:rPr>
          <w:rFonts w:eastAsia="MS Mincho" w:cs="Arial"/>
          <w:kern w:val="0"/>
          <w:sz w:val="24"/>
          <w:lang w:val="en-US" w:eastAsia="en-US"/>
        </w:rPr>
        <w:t>-</w:t>
      </w:r>
      <w:r w:rsidR="00467279">
        <w:rPr>
          <w:rFonts w:eastAsia="MS Mincho" w:cs="Arial"/>
          <w:kern w:val="0"/>
          <w:sz w:val="24"/>
          <w:lang w:val="en-US" w:eastAsia="en-US"/>
        </w:rPr>
        <w:t>20</w:t>
      </w:r>
      <w:r w:rsidRPr="00721F22">
        <w:rPr>
          <w:rFonts w:eastAsia="MS Mincho" w:cs="Arial"/>
          <w:kern w:val="0"/>
          <w:sz w:val="24"/>
          <w:lang w:val="en-US" w:eastAsia="en-US"/>
        </w:rPr>
        <w:t xml:space="preserve"> </w:t>
      </w:r>
      <w:r w:rsidR="00554EA5" w:rsidRPr="00721F22">
        <w:rPr>
          <w:rFonts w:eastAsia="MS Mincho" w:cs="Arial"/>
          <w:kern w:val="0"/>
          <w:sz w:val="24"/>
          <w:lang w:val="en-US" w:eastAsia="en-US"/>
        </w:rPr>
        <w:t>January</w:t>
      </w:r>
      <w:r w:rsidR="00BD21BC" w:rsidRPr="00721F22">
        <w:rPr>
          <w:rFonts w:eastAsia="MS Mincho" w:cs="Arial"/>
          <w:kern w:val="0"/>
          <w:sz w:val="24"/>
          <w:lang w:val="en-US" w:eastAsia="en-US"/>
        </w:rPr>
        <w:t xml:space="preserve"> 201</w:t>
      </w:r>
      <w:r w:rsidR="00554EA5" w:rsidRPr="00721F22">
        <w:rPr>
          <w:rFonts w:eastAsia="MS Mincho" w:cs="Arial"/>
          <w:kern w:val="0"/>
          <w:sz w:val="24"/>
          <w:lang w:val="en-US" w:eastAsia="en-US"/>
        </w:rPr>
        <w:t>6</w:t>
      </w:r>
    </w:p>
    <w:p w14:paraId="5C202661" w14:textId="409954DE" w:rsidR="00BD21BC" w:rsidRPr="00BD21BC" w:rsidRDefault="002D3E31"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D3E31">
        <w:rPr>
          <w:rFonts w:eastAsia="MS Mincho" w:cs="Arial"/>
          <w:kern w:val="0"/>
          <w:sz w:val="24"/>
          <w:lang w:val="en-US" w:eastAsia="en-US"/>
        </w:rPr>
        <w:t>Budapest</w:t>
      </w:r>
      <w:r w:rsidR="00BD21BC" w:rsidRPr="002D3E31">
        <w:rPr>
          <w:rFonts w:eastAsia="MS Mincho" w:cs="Arial"/>
          <w:kern w:val="0"/>
          <w:sz w:val="24"/>
          <w:lang w:val="en-US" w:eastAsia="en-US"/>
        </w:rPr>
        <w:t xml:space="preserve">, </w:t>
      </w:r>
      <w:r w:rsidRPr="002D3E31">
        <w:rPr>
          <w:rFonts w:eastAsia="MS Mincho" w:cs="Arial"/>
          <w:kern w:val="0"/>
          <w:sz w:val="24"/>
          <w:lang w:val="en-US" w:eastAsia="en-US"/>
        </w:rPr>
        <w:t>Hungary</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088E57C5"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 </w:t>
      </w:r>
      <w:r w:rsidR="004E181A">
        <w:rPr>
          <w:rFonts w:cs="Arial"/>
          <w:b/>
          <w:sz w:val="24"/>
          <w:lang w:val="en-US" w:eastAsia="ja-JP"/>
        </w:rPr>
        <w:t>Design Considerations for</w:t>
      </w:r>
      <w:r w:rsidR="00895096">
        <w:rPr>
          <w:rFonts w:cs="Arial"/>
          <w:b/>
          <w:sz w:val="24"/>
          <w:lang w:val="en-US" w:eastAsia="ja-JP"/>
        </w:rPr>
        <w:t xml:space="preserve"> </w:t>
      </w:r>
      <w:r w:rsidR="00D429D7">
        <w:rPr>
          <w:rFonts w:cs="Arial"/>
          <w:b/>
          <w:sz w:val="24"/>
          <w:lang w:val="en-US" w:eastAsia="ja-JP"/>
        </w:rPr>
        <w:t>NB-PDS</w:t>
      </w:r>
      <w:r w:rsidR="00642468">
        <w:rPr>
          <w:rFonts w:cs="Arial"/>
          <w:b/>
          <w:sz w:val="24"/>
          <w:lang w:val="en-US" w:eastAsia="ja-JP"/>
        </w:rPr>
        <w:t>CH</w:t>
      </w:r>
      <w:r w:rsidR="00895096">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17B494AE" w:rsidR="00A675B4" w:rsidRPr="00DF438D" w:rsidRDefault="00BD21BC" w:rsidP="00BD21BC">
      <w:pPr>
        <w:keepNext/>
        <w:tabs>
          <w:tab w:val="left" w:pos="2552"/>
        </w:tabs>
        <w:rPr>
          <w:lang w:val="en-US"/>
        </w:rPr>
      </w:pPr>
      <w:r w:rsidRPr="005A2929">
        <w:rPr>
          <w:rFonts w:cs="Arial"/>
          <w:b/>
          <w:sz w:val="24"/>
          <w:lang w:val="en-US"/>
        </w:rPr>
        <w:t xml:space="preserve">Agenda Item:         </w:t>
      </w:r>
      <w:r w:rsidRPr="005A2929">
        <w:rPr>
          <w:rFonts w:cs="Arial"/>
          <w:b/>
          <w:sz w:val="24"/>
          <w:lang w:val="en-US"/>
        </w:rPr>
        <w:tab/>
      </w:r>
      <w:r w:rsidR="00171F87" w:rsidRPr="005A2929">
        <w:rPr>
          <w:rFonts w:cs="Arial"/>
          <w:b/>
          <w:sz w:val="24"/>
          <w:lang w:val="en-US"/>
        </w:rPr>
        <w:t>2.1.1</w:t>
      </w:r>
      <w:r w:rsidR="00554EA5" w:rsidRPr="005A2929">
        <w:rPr>
          <w:rFonts w:cs="Arial"/>
          <w:b/>
          <w:sz w:val="24"/>
          <w:lang w:val="en-US"/>
        </w:rPr>
        <w:t>.</w:t>
      </w:r>
      <w:r w:rsidR="00171F87" w:rsidRPr="005A2929">
        <w:rPr>
          <w:rFonts w:cs="Arial"/>
          <w:b/>
          <w:sz w:val="24"/>
          <w:lang w:val="en-US"/>
        </w:rPr>
        <w:t>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43805C54"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w:t>
      </w:r>
      <w:proofErr w:type="spellStart"/>
      <w:r w:rsidRPr="00D9057B">
        <w:rPr>
          <w:i/>
          <w:lang w:val="en-US"/>
        </w:rPr>
        <w:t>I</w:t>
      </w:r>
      <w:r w:rsidR="00A546B8">
        <w:rPr>
          <w:i/>
          <w:lang w:val="en-US"/>
        </w:rPr>
        <w:t>o</w:t>
      </w:r>
      <w:r w:rsidRPr="00D9057B">
        <w:rPr>
          <w:i/>
          <w:lang w:val="en-US"/>
        </w:rPr>
        <w:t>T</w:t>
      </w:r>
      <w:proofErr w:type="spellEnd"/>
      <w:r w:rsidRPr="00D9057B">
        <w:rPr>
          <w:i/>
          <w:lang w:val="en-US"/>
        </w:rPr>
        <w: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7D0DD5">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r w:rsidR="00C937D7">
        <w:rPr>
          <w:lang w:val="en-US"/>
        </w:rPr>
        <w:t xml:space="preserve">At RAN#70, a revised work item description was approved, see </w:t>
      </w:r>
      <w:r w:rsidR="00C937D7" w:rsidRPr="00300AC8">
        <w:rPr>
          <w:lang w:val="en-US"/>
        </w:rPr>
        <w:t>[2].</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55EA86C8" w:rsidR="0052438A" w:rsidRPr="004B486D" w:rsidRDefault="0052438A" w:rsidP="00B83895">
      <w:pPr>
        <w:pStyle w:val="BodyText"/>
        <w:numPr>
          <w:ilvl w:val="0"/>
          <w:numId w:val="20"/>
        </w:numPr>
        <w:rPr>
          <w:lang w:val="en-US"/>
        </w:rPr>
      </w:pPr>
      <w:r>
        <w:rPr>
          <w:lang w:val="en-US"/>
        </w:rPr>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rsidR="006D4D90">
        <w:t xml:space="preserve">, as well as scattered spectrum for potential </w:t>
      </w:r>
      <w:proofErr w:type="spellStart"/>
      <w:r w:rsidR="006D4D90">
        <w:t>IoT</w:t>
      </w:r>
      <w:proofErr w:type="spellEnd"/>
      <w:r w:rsidR="006D4D90">
        <w:t xml:space="preserve"> deployment.</w:t>
      </w:r>
    </w:p>
    <w:p w14:paraId="5F1DB6E3" w14:textId="509F646D" w:rsidR="0052438A" w:rsidRPr="004B486D" w:rsidRDefault="0052438A" w:rsidP="00B83895">
      <w:pPr>
        <w:pStyle w:val="BodyText"/>
        <w:numPr>
          <w:ilvl w:val="0"/>
          <w:numId w:val="20"/>
        </w:numPr>
        <w:rPr>
          <w:lang w:val="en-US"/>
        </w:rPr>
      </w:pPr>
      <w:r>
        <w:rPr>
          <w:lang w:val="en-US"/>
        </w:rPr>
        <w:t>“Guard band operation”</w:t>
      </w:r>
      <w:r w:rsidRPr="004B486D">
        <w:rPr>
          <w:lang w:val="en-US"/>
        </w:rPr>
        <w:t xml:space="preserve"> utilizing the unused resource blocks within a LTE carrier’s guard-band </w:t>
      </w:r>
    </w:p>
    <w:p w14:paraId="11FE0FDD" w14:textId="0DDC9C9E" w:rsidR="0052438A" w:rsidRDefault="0052438A" w:rsidP="00B83895">
      <w:pPr>
        <w:pStyle w:val="BodyText"/>
        <w:numPr>
          <w:ilvl w:val="0"/>
          <w:numId w:val="20"/>
        </w:numPr>
        <w:rPr>
          <w:lang w:val="en-US"/>
        </w:rPr>
      </w:pPr>
      <w:r>
        <w:rPr>
          <w:lang w:val="en-US"/>
        </w:rPr>
        <w:t>“In-band operation”</w:t>
      </w:r>
      <w:r w:rsidRPr="004B486D">
        <w:rPr>
          <w:lang w:val="en-US"/>
        </w:rPr>
        <w:t xml:space="preserve"> utilizing resource blocks within a normal LTE carrier</w:t>
      </w:r>
    </w:p>
    <w:p w14:paraId="7B98E0F7" w14:textId="0D9E713A" w:rsidR="00DD2156" w:rsidRPr="000A105F" w:rsidRDefault="006D4D90" w:rsidP="006D4D90">
      <w:pPr>
        <w:ind w:right="-99"/>
        <w:rPr>
          <w:highlight w:val="yellow"/>
          <w:lang w:val="en-US"/>
        </w:rPr>
      </w:pPr>
      <w:r>
        <w:rPr>
          <w:bCs/>
        </w:rPr>
        <w:t>NB-</w:t>
      </w:r>
      <w:proofErr w:type="spellStart"/>
      <w:r>
        <w:rPr>
          <w:bCs/>
        </w:rPr>
        <w:t>IoT</w:t>
      </w:r>
      <w:proofErr w:type="spellEnd"/>
      <w:r>
        <w:rPr>
          <w:bCs/>
        </w:rPr>
        <w:t xml:space="preserve"> will support 180 kHz UE RF bandwidth for both d</w:t>
      </w:r>
      <w:r w:rsidR="008D3AC4">
        <w:rPr>
          <w:bCs/>
        </w:rPr>
        <w:t>ownlink and uplink. Furthermore</w:t>
      </w:r>
      <w:r>
        <w:rPr>
          <w:bCs/>
        </w:rPr>
        <w:t xml:space="preserve"> according to [2], NB-</w:t>
      </w:r>
      <w:proofErr w:type="spellStart"/>
      <w:r>
        <w:rPr>
          <w:bCs/>
        </w:rPr>
        <w:t>IoT</w:t>
      </w:r>
      <w:proofErr w:type="spellEnd"/>
      <w:r>
        <w:rPr>
          <w:bCs/>
        </w:rPr>
        <w:t xml:space="preserve"> downlink is based on OFDMA using 15 kHz sub-carrier spacing for all the modes of operation (with normal or extended CP).</w:t>
      </w:r>
    </w:p>
    <w:p w14:paraId="62E7B2AD" w14:textId="045B1AB8" w:rsidR="00792345" w:rsidRDefault="00EE3D52" w:rsidP="00B342A2">
      <w:pPr>
        <w:pStyle w:val="BodyText"/>
      </w:pPr>
      <w:r>
        <w:t>In this contribution, we discuss the design consideration for NB-PDSCH.</w:t>
      </w:r>
      <w:r w:rsidR="00616001">
        <w:t xml:space="preserve"> In particular</w:t>
      </w:r>
      <w:r w:rsidR="00D92984">
        <w:t xml:space="preserve">, we focus on the </w:t>
      </w:r>
      <w:r w:rsidR="00616001">
        <w:t>issues listed below.</w:t>
      </w:r>
    </w:p>
    <w:p w14:paraId="361CAEF4" w14:textId="4BDBD4F3" w:rsidR="00D92984" w:rsidRDefault="00D92984" w:rsidP="00D92984">
      <w:pPr>
        <w:pStyle w:val="BodyText"/>
        <w:numPr>
          <w:ilvl w:val="0"/>
          <w:numId w:val="18"/>
        </w:numPr>
      </w:pPr>
      <w:r>
        <w:t>Downlink numerology</w:t>
      </w:r>
    </w:p>
    <w:p w14:paraId="697B912F" w14:textId="50086F92" w:rsidR="00616001" w:rsidRDefault="00616001" w:rsidP="00616001">
      <w:pPr>
        <w:pStyle w:val="BodyText"/>
        <w:numPr>
          <w:ilvl w:val="0"/>
          <w:numId w:val="18"/>
        </w:numPr>
      </w:pPr>
      <w:r>
        <w:t>Resource multiplexing between users</w:t>
      </w:r>
    </w:p>
    <w:p w14:paraId="7A815E37" w14:textId="4FA9325C" w:rsidR="00616001" w:rsidRPr="00921AB6" w:rsidRDefault="00616001" w:rsidP="00616001">
      <w:pPr>
        <w:pStyle w:val="BodyText"/>
        <w:numPr>
          <w:ilvl w:val="0"/>
          <w:numId w:val="18"/>
        </w:numPr>
      </w:pPr>
      <w:r>
        <w:t>Channel coding</w:t>
      </w:r>
    </w:p>
    <w:p w14:paraId="5A297BD7" w14:textId="40D376CD" w:rsidR="00792345" w:rsidRDefault="003F6033" w:rsidP="00792345">
      <w:pPr>
        <w:pStyle w:val="Heading1"/>
      </w:pPr>
      <w:r>
        <w:t>NB-</w:t>
      </w:r>
      <w:proofErr w:type="spellStart"/>
      <w:r>
        <w:t>IoT</w:t>
      </w:r>
      <w:proofErr w:type="spellEnd"/>
      <w:r>
        <w:t xml:space="preserve"> downlink numerology</w:t>
      </w:r>
    </w:p>
    <w:p w14:paraId="3313DD74" w14:textId="261D1E23" w:rsidR="003F6033" w:rsidRPr="003F6033" w:rsidRDefault="003F6033" w:rsidP="003F6033">
      <w:pPr>
        <w:pStyle w:val="Heading2"/>
        <w:numPr>
          <w:ilvl w:val="0"/>
          <w:numId w:val="0"/>
        </w:numPr>
        <w:ind w:left="576" w:hanging="576"/>
        <w:rPr>
          <w:rFonts w:cs="Times New Roman"/>
          <w:bCs/>
          <w:sz w:val="20"/>
          <w:szCs w:val="20"/>
        </w:rPr>
      </w:pPr>
      <w:r w:rsidRPr="003F6033">
        <w:rPr>
          <w:rFonts w:cs="Times New Roman"/>
          <w:bCs/>
          <w:sz w:val="20"/>
          <w:szCs w:val="20"/>
        </w:rPr>
        <w:t>We</w:t>
      </w:r>
      <w:r>
        <w:rPr>
          <w:rFonts w:cs="Times New Roman"/>
          <w:bCs/>
          <w:sz w:val="20"/>
          <w:szCs w:val="20"/>
        </w:rPr>
        <w:t xml:space="preserve"> propose that NB-</w:t>
      </w:r>
      <w:proofErr w:type="spellStart"/>
      <w:r>
        <w:rPr>
          <w:rFonts w:cs="Times New Roman"/>
          <w:bCs/>
          <w:sz w:val="20"/>
          <w:szCs w:val="20"/>
        </w:rPr>
        <w:t>IoT</w:t>
      </w:r>
      <w:proofErr w:type="spellEnd"/>
      <w:r>
        <w:rPr>
          <w:rFonts w:cs="Times New Roman"/>
          <w:bCs/>
          <w:sz w:val="20"/>
          <w:szCs w:val="20"/>
        </w:rPr>
        <w:t xml:space="preserve"> numerology follows that of LTE with one PRB.</w:t>
      </w:r>
    </w:p>
    <w:p w14:paraId="1C238B80" w14:textId="77777777" w:rsidR="003F6033" w:rsidRPr="00FE1F13" w:rsidRDefault="003F6033" w:rsidP="003F6033">
      <w:pPr>
        <w:rPr>
          <w:lang w:val="en-US"/>
        </w:rPr>
      </w:pPr>
      <w:r w:rsidRPr="00FE1F13">
        <w:rPr>
          <w:lang w:val="en-US"/>
        </w:rPr>
        <w:t xml:space="preserve">The subcarrier spacing and channel bandwidth of </w:t>
      </w:r>
      <w:r>
        <w:rPr>
          <w:lang w:val="en-US"/>
        </w:rPr>
        <w:t>downlink NB-</w:t>
      </w:r>
      <w:proofErr w:type="spellStart"/>
      <w:r>
        <w:rPr>
          <w:lang w:val="en-US"/>
        </w:rPr>
        <w:t>IoT</w:t>
      </w:r>
      <w:proofErr w:type="spellEnd"/>
      <w:r w:rsidRPr="00FE1F13">
        <w:rPr>
          <w:lang w:val="en-US"/>
        </w:rPr>
        <w:t xml:space="preserve"> is illustrated in </w:t>
      </w:r>
      <w:r w:rsidRPr="00FE1F13">
        <w:rPr>
          <w:lang w:val="en-US"/>
        </w:rPr>
        <w:fldChar w:fldCharType="begin"/>
      </w:r>
      <w:r w:rsidRPr="00FE1F13">
        <w:rPr>
          <w:lang w:val="en-US"/>
        </w:rPr>
        <w:instrText xml:space="preserve"> REF _Ref425955759 \h </w:instrText>
      </w:r>
      <w:r w:rsidRPr="00FE1F13">
        <w:rPr>
          <w:lang w:val="en-US"/>
        </w:rPr>
      </w:r>
      <w:r w:rsidRPr="00FE1F13">
        <w:rPr>
          <w:lang w:val="en-US"/>
        </w:rPr>
        <w:fldChar w:fldCharType="separate"/>
      </w:r>
      <w:r w:rsidRPr="00FE1F13">
        <w:rPr>
          <w:lang w:val="en-US"/>
        </w:rPr>
        <w:t xml:space="preserve">Figure </w:t>
      </w:r>
      <w:r>
        <w:rPr>
          <w:noProof/>
          <w:lang w:val="en-US"/>
        </w:rPr>
        <w:t>1</w:t>
      </w:r>
      <w:r w:rsidRPr="00FE1F13">
        <w:rPr>
          <w:lang w:val="en-US"/>
        </w:rPr>
        <w:fldChar w:fldCharType="end"/>
      </w:r>
      <w:r w:rsidRPr="00FE1F13">
        <w:rPr>
          <w:lang w:val="en-US"/>
        </w:rPr>
        <w:t>. It occupies only one LTE PRB, i.e. 180 kHz of transmission bandwidth.</w:t>
      </w:r>
    </w:p>
    <w:p w14:paraId="1AAB779B" w14:textId="77777777" w:rsidR="003F6033" w:rsidRPr="00FE1F13" w:rsidRDefault="003F6033" w:rsidP="003F6033">
      <w:pPr>
        <w:pStyle w:val="Figure"/>
        <w:rPr>
          <w:lang w:val="en-US"/>
        </w:rPr>
      </w:pPr>
      <w:r w:rsidRPr="00FE1F13">
        <w:rPr>
          <w:noProof/>
          <w:lang w:val="en-US" w:eastAsia="en-US"/>
        </w:rPr>
        <w:lastRenderedPageBreak/>
        <w:drawing>
          <wp:inline distT="0" distB="0" distL="0" distR="0" wp14:anchorId="006A46B2" wp14:editId="0826C899">
            <wp:extent cx="2625725" cy="206438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5725" cy="2064385"/>
                    </a:xfrm>
                    <a:prstGeom prst="rect">
                      <a:avLst/>
                    </a:prstGeom>
                    <a:noFill/>
                    <a:ln>
                      <a:noFill/>
                    </a:ln>
                  </pic:spPr>
                </pic:pic>
              </a:graphicData>
            </a:graphic>
          </wp:inline>
        </w:drawing>
      </w:r>
      <w:r w:rsidRPr="00FE1F13">
        <w:rPr>
          <w:lang w:val="en-US"/>
        </w:rPr>
        <w:t xml:space="preserve"> </w:t>
      </w:r>
    </w:p>
    <w:p w14:paraId="3F184170" w14:textId="77777777" w:rsidR="003F6033" w:rsidRPr="00FE1F13" w:rsidRDefault="003F6033" w:rsidP="003F6033">
      <w:pPr>
        <w:pStyle w:val="TF"/>
        <w:rPr>
          <w:lang w:val="en-US"/>
        </w:rPr>
      </w:pPr>
      <w:bookmarkStart w:id="1" w:name="_Ref425955759"/>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171C05">
        <w:rPr>
          <w:noProof/>
          <w:lang w:val="en-US"/>
        </w:rPr>
        <w:t>1</w:t>
      </w:r>
      <w:r w:rsidRPr="00FE1F13">
        <w:rPr>
          <w:noProof/>
          <w:lang w:val="en-US"/>
        </w:rPr>
        <w:fldChar w:fldCharType="end"/>
      </w:r>
      <w:bookmarkEnd w:id="1"/>
      <w:r w:rsidRPr="00FE1F13">
        <w:rPr>
          <w:lang w:val="en-US"/>
        </w:rPr>
        <w:t>: A NB-</w:t>
      </w:r>
      <w:r>
        <w:rPr>
          <w:lang w:val="en-US"/>
        </w:rPr>
        <w:t>IOT</w:t>
      </w:r>
      <w:r w:rsidRPr="00FE1F13">
        <w:rPr>
          <w:lang w:val="en-US"/>
        </w:rPr>
        <w:t xml:space="preserve"> carrier consists of 12 subcarriers with 15 kHz subcarrier spacing.</w:t>
      </w:r>
    </w:p>
    <w:p w14:paraId="495E0DB8" w14:textId="476F9FBF" w:rsidR="003F6033" w:rsidRPr="00FE1F13" w:rsidRDefault="003F6033" w:rsidP="003F6033">
      <w:pPr>
        <w:rPr>
          <w:lang w:val="en-US"/>
        </w:rPr>
      </w:pPr>
      <w:r w:rsidRPr="00FE1F13">
        <w:rPr>
          <w:lang w:val="en-US"/>
        </w:rPr>
        <w:t xml:space="preserve">The DL time units are shown in </w:t>
      </w:r>
      <w:r w:rsidRPr="00FE1F13">
        <w:rPr>
          <w:lang w:val="en-US"/>
        </w:rPr>
        <w:fldChar w:fldCharType="begin"/>
      </w:r>
      <w:r w:rsidRPr="00FE1F13">
        <w:rPr>
          <w:lang w:val="en-US"/>
        </w:rPr>
        <w:instrText xml:space="preserve"> REF _Ref425955766 \h </w:instrText>
      </w:r>
      <w:r w:rsidRPr="00FE1F13">
        <w:rPr>
          <w:lang w:val="en-US"/>
        </w:rPr>
      </w:r>
      <w:r w:rsidRPr="00FE1F13">
        <w:rPr>
          <w:lang w:val="en-US"/>
        </w:rPr>
        <w:fldChar w:fldCharType="separate"/>
      </w:r>
      <w:r w:rsidRPr="00FE1F13">
        <w:rPr>
          <w:lang w:val="en-US"/>
        </w:rPr>
        <w:t xml:space="preserve">Figure </w:t>
      </w:r>
      <w:r>
        <w:rPr>
          <w:noProof/>
          <w:lang w:val="en-US"/>
        </w:rPr>
        <w:t>2</w:t>
      </w:r>
      <w:r w:rsidRPr="00FE1F13">
        <w:rPr>
          <w:lang w:val="en-US"/>
        </w:rPr>
        <w:fldChar w:fldCharType="end"/>
      </w:r>
      <w:r w:rsidRPr="00FE1F13">
        <w:rPr>
          <w:lang w:val="en-US"/>
        </w:rPr>
        <w:t xml:space="preserve">. The OFDM symbol duration, </w:t>
      </w:r>
      <w:r>
        <w:rPr>
          <w:lang w:val="en-US"/>
        </w:rPr>
        <w:t xml:space="preserve">CP lengths, </w:t>
      </w:r>
      <w:r w:rsidRPr="00FE1F13">
        <w:rPr>
          <w:lang w:val="en-US"/>
        </w:rPr>
        <w:t xml:space="preserve">slot duration, and </w:t>
      </w:r>
      <w:proofErr w:type="spellStart"/>
      <w:r w:rsidRPr="00FE1F13">
        <w:rPr>
          <w:lang w:val="en-US"/>
        </w:rPr>
        <w:t>subframe</w:t>
      </w:r>
      <w:proofErr w:type="spellEnd"/>
      <w:r w:rsidRPr="00FE1F13">
        <w:rPr>
          <w:lang w:val="en-US"/>
        </w:rPr>
        <w:t xml:space="preserve"> duration are exactly the same as LTE. Furthermore, the slot format is exactly the same as that in LTE. </w:t>
      </w:r>
    </w:p>
    <w:p w14:paraId="3841223D" w14:textId="77777777" w:rsidR="003F6033" w:rsidRPr="00FE1F13" w:rsidRDefault="003F6033" w:rsidP="003F6033">
      <w:pPr>
        <w:pStyle w:val="Figure"/>
        <w:rPr>
          <w:lang w:val="en-US"/>
        </w:rPr>
      </w:pPr>
    </w:p>
    <w:p w14:paraId="35CB4232" w14:textId="77777777" w:rsidR="003F6033" w:rsidRPr="00FE1F13" w:rsidRDefault="003F6033" w:rsidP="003F6033">
      <w:pPr>
        <w:pStyle w:val="Caption"/>
        <w:rPr>
          <w:lang w:val="en-US"/>
        </w:rPr>
      </w:pPr>
      <w:r w:rsidRPr="00FE1F13">
        <w:rPr>
          <w:noProof/>
          <w:lang w:val="en-US" w:eastAsia="en-US"/>
        </w:rPr>
        <w:drawing>
          <wp:inline distT="0" distB="0" distL="0" distR="0" wp14:anchorId="52EA5652" wp14:editId="2D0B5578">
            <wp:extent cx="4469587" cy="2145794"/>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9537" cy="2145770"/>
                    </a:xfrm>
                    <a:prstGeom prst="rect">
                      <a:avLst/>
                    </a:prstGeom>
                    <a:noFill/>
                    <a:ln>
                      <a:noFill/>
                    </a:ln>
                  </pic:spPr>
                </pic:pic>
              </a:graphicData>
            </a:graphic>
          </wp:inline>
        </w:drawing>
      </w:r>
    </w:p>
    <w:p w14:paraId="51B74F4E" w14:textId="77777777" w:rsidR="003F6033" w:rsidRPr="00FE1F13" w:rsidRDefault="003F6033" w:rsidP="003F6033">
      <w:pPr>
        <w:pStyle w:val="TF"/>
        <w:rPr>
          <w:lang w:val="en-US"/>
        </w:rPr>
      </w:pPr>
      <w:bookmarkStart w:id="2" w:name="_Ref425955766"/>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171C05">
        <w:rPr>
          <w:noProof/>
          <w:lang w:val="en-US"/>
        </w:rPr>
        <w:t>2</w:t>
      </w:r>
      <w:r w:rsidRPr="00FE1F13">
        <w:rPr>
          <w:noProof/>
          <w:lang w:val="en-US"/>
        </w:rPr>
        <w:fldChar w:fldCharType="end"/>
      </w:r>
      <w:bookmarkEnd w:id="2"/>
      <w:r w:rsidRPr="00FE1F13">
        <w:rPr>
          <w:lang w:val="en-US"/>
        </w:rPr>
        <w:t>: Time units for downlink NB-</w:t>
      </w:r>
      <w:r>
        <w:rPr>
          <w:lang w:val="en-US"/>
        </w:rPr>
        <w:t>IOT</w:t>
      </w:r>
      <w:r w:rsidRPr="00FE1F13">
        <w:rPr>
          <w:lang w:val="en-US"/>
        </w:rPr>
        <w:t>.</w:t>
      </w:r>
    </w:p>
    <w:p w14:paraId="0B815C76" w14:textId="77777777" w:rsidR="003F6033" w:rsidRPr="003F6033" w:rsidRDefault="003F6033" w:rsidP="00384695">
      <w:pPr>
        <w:pStyle w:val="BodyText"/>
        <w:rPr>
          <w:lang w:val="en-US"/>
        </w:rPr>
      </w:pPr>
    </w:p>
    <w:p w14:paraId="7CC4C101" w14:textId="18F1FBE5" w:rsidR="003F6033" w:rsidRPr="006166E4" w:rsidRDefault="003F6033" w:rsidP="006166E4">
      <w:pPr>
        <w:pStyle w:val="Heading2"/>
        <w:numPr>
          <w:ilvl w:val="0"/>
          <w:numId w:val="0"/>
        </w:numPr>
        <w:ind w:left="576" w:hanging="576"/>
        <w:rPr>
          <w:rFonts w:cs="Times New Roman"/>
          <w:bCs/>
          <w:i/>
          <w:sz w:val="20"/>
          <w:szCs w:val="20"/>
        </w:rPr>
      </w:pPr>
      <w:r w:rsidRPr="003F6033">
        <w:rPr>
          <w:rFonts w:cs="Times New Roman"/>
          <w:bCs/>
          <w:i/>
          <w:sz w:val="20"/>
          <w:szCs w:val="20"/>
        </w:rPr>
        <w:t>Proposal 1: NB-</w:t>
      </w:r>
      <w:proofErr w:type="spellStart"/>
      <w:r w:rsidRPr="003F6033">
        <w:rPr>
          <w:rFonts w:cs="Times New Roman"/>
          <w:bCs/>
          <w:i/>
          <w:sz w:val="20"/>
          <w:szCs w:val="20"/>
        </w:rPr>
        <w:t>IoT</w:t>
      </w:r>
      <w:proofErr w:type="spellEnd"/>
      <w:r w:rsidRPr="003F6033">
        <w:rPr>
          <w:rFonts w:cs="Times New Roman"/>
          <w:bCs/>
          <w:i/>
          <w:sz w:val="20"/>
          <w:szCs w:val="20"/>
        </w:rPr>
        <w:t xml:space="preserve"> </w:t>
      </w:r>
      <w:r w:rsidR="000C527F">
        <w:rPr>
          <w:rFonts w:cs="Times New Roman"/>
          <w:bCs/>
          <w:i/>
          <w:sz w:val="20"/>
          <w:szCs w:val="20"/>
        </w:rPr>
        <w:t>downlink</w:t>
      </w:r>
      <w:r w:rsidR="000C527F" w:rsidRPr="003F6033">
        <w:rPr>
          <w:rFonts w:cs="Times New Roman"/>
          <w:bCs/>
          <w:i/>
          <w:sz w:val="20"/>
          <w:szCs w:val="20"/>
        </w:rPr>
        <w:t xml:space="preserve"> </w:t>
      </w:r>
      <w:r w:rsidRPr="003F6033">
        <w:rPr>
          <w:rFonts w:cs="Times New Roman"/>
          <w:bCs/>
          <w:i/>
          <w:sz w:val="20"/>
          <w:szCs w:val="20"/>
        </w:rPr>
        <w:t>numerology follows that of LTE with one PRB.</w:t>
      </w:r>
    </w:p>
    <w:p w14:paraId="0C803A37" w14:textId="77777777" w:rsidR="00FA20DC" w:rsidRPr="00FA20DC" w:rsidRDefault="00FA20DC" w:rsidP="00FA20DC">
      <w:pPr>
        <w:pStyle w:val="Heading1"/>
      </w:pPr>
      <w:r w:rsidRPr="00FA20DC">
        <w:t>Resource multiplexing between users</w:t>
      </w:r>
    </w:p>
    <w:p w14:paraId="0C553F3A" w14:textId="0549754B" w:rsidR="00627089" w:rsidRDefault="000E334E" w:rsidP="00627089">
      <w:pPr>
        <w:rPr>
          <w:lang w:val="en-US"/>
        </w:rPr>
      </w:pPr>
      <w:r>
        <w:t xml:space="preserve">In LTE, the </w:t>
      </w:r>
      <w:r w:rsidRPr="00FE1F13">
        <w:rPr>
          <w:lang w:val="en-US"/>
        </w:rPr>
        <w:t xml:space="preserve">basic schedule unit </w:t>
      </w:r>
      <w:r>
        <w:rPr>
          <w:lang w:val="en-US"/>
        </w:rPr>
        <w:t xml:space="preserve">for PDSCH </w:t>
      </w:r>
      <w:r w:rsidRPr="00FE1F13">
        <w:rPr>
          <w:lang w:val="en-US"/>
        </w:rPr>
        <w:t xml:space="preserve">is </w:t>
      </w:r>
      <w:r>
        <w:rPr>
          <w:lang w:val="en-US"/>
        </w:rPr>
        <w:t xml:space="preserve">1 </w:t>
      </w:r>
      <w:proofErr w:type="spellStart"/>
      <w:r>
        <w:rPr>
          <w:lang w:val="en-US"/>
        </w:rPr>
        <w:t>ms</w:t>
      </w:r>
      <w:proofErr w:type="spellEnd"/>
      <w:r>
        <w:rPr>
          <w:lang w:val="en-US"/>
        </w:rPr>
        <w:t xml:space="preserve"> </w:t>
      </w:r>
      <w:proofErr w:type="spellStart"/>
      <w:r>
        <w:rPr>
          <w:lang w:val="en-US"/>
        </w:rPr>
        <w:t>subframe</w:t>
      </w:r>
      <w:proofErr w:type="spellEnd"/>
      <w:r>
        <w:rPr>
          <w:lang w:val="en-US"/>
        </w:rPr>
        <w:t xml:space="preserve"> in time and </w:t>
      </w:r>
      <w:r w:rsidR="0080385F">
        <w:rPr>
          <w:lang w:val="en-US"/>
        </w:rPr>
        <w:t>12 subcarriers</w:t>
      </w:r>
      <w:r>
        <w:rPr>
          <w:lang w:val="en-US"/>
        </w:rPr>
        <w:t xml:space="preserve"> in frequency.</w:t>
      </w:r>
      <w:r w:rsidR="000E29C3">
        <w:rPr>
          <w:lang w:val="en-US"/>
        </w:rPr>
        <w:t xml:space="preserve"> In this section, we discuss whether the same basic scheduling </w:t>
      </w:r>
      <w:r w:rsidR="00627089">
        <w:rPr>
          <w:lang w:val="en-US"/>
        </w:rPr>
        <w:t>unit may be applied to NB-</w:t>
      </w:r>
      <w:proofErr w:type="spellStart"/>
      <w:r w:rsidR="00627089">
        <w:rPr>
          <w:lang w:val="en-US"/>
        </w:rPr>
        <w:t>IoT</w:t>
      </w:r>
      <w:proofErr w:type="spellEnd"/>
      <w:r w:rsidR="00627089">
        <w:rPr>
          <w:lang w:val="en-US"/>
        </w:rPr>
        <w:t>.</w:t>
      </w:r>
    </w:p>
    <w:p w14:paraId="6E257371" w14:textId="2B1C2308" w:rsidR="00627089" w:rsidRDefault="00627089" w:rsidP="00627089">
      <w:pPr>
        <w:rPr>
          <w:lang w:val="en-US"/>
        </w:rPr>
      </w:pPr>
      <w:r>
        <w:rPr>
          <w:lang w:val="en-US"/>
        </w:rPr>
        <w:t xml:space="preserve">Regarding basic scheduling unit in frequency, a relevant question is whether frequency-division multiplexing (FDM) is needed for NB-PDSCH. With FDM, a scheduled UE may be allocated with less than 12 subcarriers. FDM may be beneficial when a UE in extremely poor coverage is scheduled continuously for a long time, e.g. 100’s of subframes. In this case, having available resources for other UEs, either NB-PDSCH </w:t>
      </w:r>
      <w:r w:rsidR="00BD1DC3">
        <w:rPr>
          <w:lang w:val="en-US"/>
        </w:rPr>
        <w:t>or</w:t>
      </w:r>
      <w:r>
        <w:rPr>
          <w:lang w:val="en-US"/>
        </w:rPr>
        <w:t xml:space="preserve"> NB-</w:t>
      </w:r>
      <w:proofErr w:type="gramStart"/>
      <w:r>
        <w:rPr>
          <w:lang w:val="en-US"/>
        </w:rPr>
        <w:t>PDCCH,</w:t>
      </w:r>
      <w:proofErr w:type="gramEnd"/>
      <w:r>
        <w:rPr>
          <w:lang w:val="en-US"/>
        </w:rPr>
        <w:t xml:space="preserve"> prevents the downlink </w:t>
      </w:r>
      <w:r w:rsidR="00802A0A">
        <w:rPr>
          <w:lang w:val="en-US"/>
        </w:rPr>
        <w:t xml:space="preserve">PRB </w:t>
      </w:r>
      <w:r>
        <w:rPr>
          <w:lang w:val="en-US"/>
        </w:rPr>
        <w:t>of NB-</w:t>
      </w:r>
      <w:proofErr w:type="spellStart"/>
      <w:r>
        <w:rPr>
          <w:lang w:val="en-US"/>
        </w:rPr>
        <w:t>IoT</w:t>
      </w:r>
      <w:proofErr w:type="spellEnd"/>
      <w:r>
        <w:rPr>
          <w:lang w:val="en-US"/>
        </w:rPr>
        <w:t xml:space="preserve"> from being blocked out during </w:t>
      </w:r>
      <w:r w:rsidR="00BD1DC3">
        <w:rPr>
          <w:lang w:val="en-US"/>
        </w:rPr>
        <w:t>a</w:t>
      </w:r>
      <w:r>
        <w:rPr>
          <w:lang w:val="en-US"/>
        </w:rPr>
        <w:t xml:space="preserve"> long NB-PDSCH transmission to a UE with poor coverage.</w:t>
      </w:r>
      <w:r w:rsidR="004E532F">
        <w:rPr>
          <w:lang w:val="en-US"/>
        </w:rPr>
        <w:t xml:space="preserve"> An example of FDM </w:t>
      </w:r>
      <w:r w:rsidR="00802A0A">
        <w:rPr>
          <w:lang w:val="en-US"/>
        </w:rPr>
        <w:t xml:space="preserve">applied to NB-PDSCH/NB-PDCCH is illustrated in </w:t>
      </w:r>
      <w:r w:rsidR="0014582C">
        <w:rPr>
          <w:lang w:val="en-US"/>
        </w:rPr>
        <w:fldChar w:fldCharType="begin"/>
      </w:r>
      <w:r w:rsidR="0014582C">
        <w:rPr>
          <w:lang w:val="en-US"/>
        </w:rPr>
        <w:instrText xml:space="preserve"> REF _Ref437862698 \h </w:instrText>
      </w:r>
      <w:r w:rsidR="0014582C">
        <w:rPr>
          <w:lang w:val="en-US"/>
        </w:rPr>
      </w:r>
      <w:r w:rsidR="0014582C">
        <w:rPr>
          <w:lang w:val="en-US"/>
        </w:rPr>
        <w:fldChar w:fldCharType="separate"/>
      </w:r>
      <w:r w:rsidR="0014582C">
        <w:t xml:space="preserve">Figure </w:t>
      </w:r>
      <w:r w:rsidR="0014582C">
        <w:rPr>
          <w:noProof/>
        </w:rPr>
        <w:t>3</w:t>
      </w:r>
      <w:r w:rsidR="0014582C">
        <w:rPr>
          <w:lang w:val="en-US"/>
        </w:rPr>
        <w:fldChar w:fldCharType="end"/>
      </w:r>
      <w:r w:rsidR="0014582C">
        <w:rPr>
          <w:lang w:val="en-US"/>
        </w:rPr>
        <w:t xml:space="preserve">. As shown, the NB-PDSCH for UE-1 is allocated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14582C">
        <w:rPr>
          <w:lang w:val="en-US"/>
        </w:rPr>
        <w:t xml:space="preserve"> subcarriers and for 100’s of consecutive subframes</w:t>
      </w:r>
      <w:r w:rsidR="00A64943">
        <w:rPr>
          <w:lang w:val="en-US"/>
        </w:rPr>
        <w:t>.</w:t>
      </w:r>
      <w:r w:rsidR="0014582C">
        <w:rPr>
          <w:lang w:val="en-US"/>
        </w:rPr>
        <w:t xml:space="preserve"> </w:t>
      </w:r>
      <w:r w:rsidR="00A64943">
        <w:rPr>
          <w:lang w:val="en-US"/>
        </w:rPr>
        <w:t>D</w:t>
      </w:r>
      <w:r w:rsidR="0014582C">
        <w:rPr>
          <w:lang w:val="en-US"/>
        </w:rPr>
        <w:t xml:space="preserve">uring </w:t>
      </w:r>
      <w:r w:rsidR="00A64943">
        <w:rPr>
          <w:lang w:val="en-US"/>
        </w:rPr>
        <w:t xml:space="preserve">UE-1’s NB-PDSCH transmission, </w:t>
      </w:r>
      <w:r w:rsidR="0014582C">
        <w:rPr>
          <w:lang w:val="en-US"/>
        </w:rPr>
        <w:t xml:space="preserve">the scheduler may serve NB-PDSCH or NB-PDCCH to other UEs using the remaining </w:t>
      </w:r>
      <m:oMath>
        <m:r>
          <w:rPr>
            <w:rFonts w:ascii="Cambria Math" w:hAnsi="Cambria Math"/>
            <w:lang w:val="en-US"/>
          </w:rPr>
          <m:t>12-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14582C">
        <w:rPr>
          <w:lang w:val="en-US"/>
        </w:rPr>
        <w:t xml:space="preserve"> subcarriers.</w:t>
      </w:r>
    </w:p>
    <w:p w14:paraId="46B85FC1" w14:textId="7E210C3B" w:rsidR="006072EA" w:rsidRDefault="006072EA" w:rsidP="00627089">
      <w:pPr>
        <w:rPr>
          <w:lang w:val="en-US"/>
        </w:rPr>
      </w:pPr>
      <w:r>
        <w:rPr>
          <w:lang w:val="en-US"/>
        </w:rPr>
        <w:t>Such a FDM solution however introduces complexity to NB-PDCCH search space as the search space configuration</w:t>
      </w:r>
      <w:r w:rsidR="00C03D8A">
        <w:rPr>
          <w:lang w:val="en-US"/>
        </w:rPr>
        <w:t xml:space="preserve"> as well as NB-PDCCH configuration</w:t>
      </w:r>
      <w:r>
        <w:rPr>
          <w:lang w:val="en-US"/>
        </w:rPr>
        <w:t xml:space="preserve"> </w:t>
      </w:r>
      <w:r w:rsidR="00C03D8A">
        <w:rPr>
          <w:lang w:val="en-US"/>
        </w:rPr>
        <w:t>will depend</w:t>
      </w:r>
      <w:r>
        <w:rPr>
          <w:lang w:val="en-US"/>
        </w:rPr>
        <w:t xml:space="preserve"> on the number of subcarriers available for NB-PDCCH. It is desirable that NB-PDCCH is configured for 12 subcarriers in all cases.</w:t>
      </w:r>
    </w:p>
    <w:p w14:paraId="4E3A628B" w14:textId="77777777" w:rsidR="0014582C" w:rsidRDefault="0014582C" w:rsidP="00627089">
      <w:pPr>
        <w:rPr>
          <w:lang w:val="en-US"/>
        </w:rPr>
      </w:pPr>
    </w:p>
    <w:p w14:paraId="30E354ED" w14:textId="3F6CD964" w:rsidR="0014582C" w:rsidRDefault="00C03D8A" w:rsidP="00627089">
      <w:pPr>
        <w:rPr>
          <w:lang w:val="en-US"/>
        </w:rPr>
      </w:pPr>
      <w:r w:rsidRPr="00C03D8A">
        <w:rPr>
          <w:noProof/>
          <w:lang w:val="en-US" w:eastAsia="en-US"/>
        </w:rPr>
        <w:drawing>
          <wp:inline distT="0" distB="0" distL="0" distR="0" wp14:anchorId="3AE089A8" wp14:editId="57264BCF">
            <wp:extent cx="6115050" cy="2012796"/>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012796"/>
                    </a:xfrm>
                    <a:prstGeom prst="rect">
                      <a:avLst/>
                    </a:prstGeom>
                    <a:noFill/>
                    <a:ln>
                      <a:noFill/>
                    </a:ln>
                  </pic:spPr>
                </pic:pic>
              </a:graphicData>
            </a:graphic>
          </wp:inline>
        </w:drawing>
      </w:r>
    </w:p>
    <w:p w14:paraId="5F82F749" w14:textId="27DB849F" w:rsidR="00561795" w:rsidRDefault="0014582C" w:rsidP="0014582C">
      <w:pPr>
        <w:pStyle w:val="Caption"/>
        <w:rPr>
          <w:lang w:val="en-US"/>
        </w:rPr>
      </w:pPr>
      <w:bookmarkStart w:id="3" w:name="_Ref437862698"/>
      <w:r>
        <w:t xml:space="preserve">Figure </w:t>
      </w:r>
      <w:r>
        <w:fldChar w:fldCharType="begin"/>
      </w:r>
      <w:r>
        <w:instrText xml:space="preserve"> SEQ Figure \* ARABIC </w:instrText>
      </w:r>
      <w:r>
        <w:fldChar w:fldCharType="separate"/>
      </w:r>
      <w:r w:rsidR="00171C05">
        <w:rPr>
          <w:noProof/>
        </w:rPr>
        <w:t>3</w:t>
      </w:r>
      <w:r>
        <w:fldChar w:fldCharType="end"/>
      </w:r>
      <w:bookmarkEnd w:id="3"/>
      <w:r>
        <w:t>: FDM for simultaneously serving NB-PDSCH and NB-PDCCH to multiple UEs.</w:t>
      </w:r>
    </w:p>
    <w:p w14:paraId="3E558C7A" w14:textId="77777777" w:rsidR="00561795" w:rsidRDefault="00561795" w:rsidP="000E334E">
      <w:pPr>
        <w:rPr>
          <w:lang w:val="en-US"/>
        </w:rPr>
      </w:pPr>
    </w:p>
    <w:p w14:paraId="5B8B71E7" w14:textId="2F33115A" w:rsidR="00F03D77" w:rsidRDefault="009B4ECD" w:rsidP="000E334E">
      <w:pPr>
        <w:rPr>
          <w:lang w:val="en-US"/>
        </w:rPr>
      </w:pPr>
      <w:r>
        <w:rPr>
          <w:lang w:val="en-US"/>
        </w:rPr>
        <w:t xml:space="preserve">There are other solutions that can be used to prevent </w:t>
      </w:r>
      <w:r w:rsidR="00BD1DC3">
        <w:rPr>
          <w:lang w:val="en-US"/>
        </w:rPr>
        <w:t>the downlink PRB of NB-</w:t>
      </w:r>
      <w:proofErr w:type="spellStart"/>
      <w:r w:rsidR="00BD1DC3">
        <w:rPr>
          <w:lang w:val="en-US"/>
        </w:rPr>
        <w:t>IoT</w:t>
      </w:r>
      <w:proofErr w:type="spellEnd"/>
      <w:r w:rsidR="00BD1DC3">
        <w:rPr>
          <w:lang w:val="en-US"/>
        </w:rPr>
        <w:t xml:space="preserve"> from being blocked out during a long NB-PDSCH transmission to a UE with poor coverage.</w:t>
      </w:r>
      <w:r w:rsidR="00ED7E49">
        <w:rPr>
          <w:lang w:val="en-US"/>
        </w:rPr>
        <w:t xml:space="preserve"> One solution is to introduce transmission gaps for a long NB-PDSCH transmission. An example is illustrated in</w:t>
      </w:r>
      <w:r w:rsidR="00F03D77">
        <w:rPr>
          <w:lang w:val="en-US"/>
        </w:rPr>
        <w:t xml:space="preserve"> </w:t>
      </w:r>
      <w:r w:rsidR="00F03D77">
        <w:rPr>
          <w:lang w:val="en-US"/>
        </w:rPr>
        <w:fldChar w:fldCharType="begin"/>
      </w:r>
      <w:r w:rsidR="00F03D77">
        <w:rPr>
          <w:lang w:val="en-US"/>
        </w:rPr>
        <w:instrText xml:space="preserve"> REF _Ref437864651 \h </w:instrText>
      </w:r>
      <w:r w:rsidR="00F03D77">
        <w:rPr>
          <w:lang w:val="en-US"/>
        </w:rPr>
      </w:r>
      <w:r w:rsidR="00F03D77">
        <w:rPr>
          <w:lang w:val="en-US"/>
        </w:rPr>
        <w:fldChar w:fldCharType="separate"/>
      </w:r>
      <w:r w:rsidR="00F03D77">
        <w:t xml:space="preserve">Figure </w:t>
      </w:r>
      <w:r w:rsidR="00F03D77">
        <w:rPr>
          <w:noProof/>
        </w:rPr>
        <w:t>4</w:t>
      </w:r>
      <w:r w:rsidR="00F03D77">
        <w:rPr>
          <w:lang w:val="en-US"/>
        </w:rPr>
        <w:fldChar w:fldCharType="end"/>
      </w:r>
      <w:r w:rsidR="00F03D77">
        <w:rPr>
          <w:lang w:val="en-US"/>
        </w:rPr>
        <w:t>. D</w:t>
      </w:r>
      <w:r w:rsidR="00F03D77" w:rsidRPr="00F03D77">
        <w:rPr>
          <w:lang w:val="en-US"/>
        </w:rPr>
        <w:t xml:space="preserve">uring </w:t>
      </w:r>
      <w:r w:rsidR="00F03D77">
        <w:rPr>
          <w:lang w:val="en-US"/>
        </w:rPr>
        <w:t xml:space="preserve">a </w:t>
      </w:r>
      <w:r w:rsidR="00F03D77" w:rsidRPr="00F03D77">
        <w:rPr>
          <w:lang w:val="en-US"/>
        </w:rPr>
        <w:t>long NB-P</w:t>
      </w:r>
      <w:r w:rsidR="00253B9E">
        <w:rPr>
          <w:lang w:val="en-US"/>
        </w:rPr>
        <w:t>DSCH transmission to a coverage-</w:t>
      </w:r>
      <w:r w:rsidR="00F03D77" w:rsidRPr="00F03D77">
        <w:rPr>
          <w:lang w:val="en-US"/>
        </w:rPr>
        <w:t>limited UE</w:t>
      </w:r>
      <w:r w:rsidR="00F03D77">
        <w:rPr>
          <w:lang w:val="en-US"/>
        </w:rPr>
        <w:t>, transmission gaps are introduced to allow the scheduler to serve other UEs. In fact, the system can preserve the same amount of resources, on average, for serving other UEs</w:t>
      </w:r>
      <w:r w:rsidR="00B56E3D">
        <w:rPr>
          <w:lang w:val="en-US"/>
        </w:rPr>
        <w:t>,</w:t>
      </w:r>
      <w:r w:rsidR="00F03D77">
        <w:rPr>
          <w:lang w:val="en-US"/>
        </w:rPr>
        <w:t xml:space="preserve"> </w:t>
      </w:r>
      <w:r w:rsidR="00B56E3D">
        <w:rPr>
          <w:lang w:val="en-US"/>
        </w:rPr>
        <w:t xml:space="preserve">either based on the FDM solution shown in </w:t>
      </w:r>
      <w:r w:rsidR="00B56E3D">
        <w:rPr>
          <w:lang w:val="en-US"/>
        </w:rPr>
        <w:fldChar w:fldCharType="begin"/>
      </w:r>
      <w:r w:rsidR="00B56E3D">
        <w:rPr>
          <w:lang w:val="en-US"/>
        </w:rPr>
        <w:instrText xml:space="preserve"> REF _Ref437862698 \h </w:instrText>
      </w:r>
      <w:r w:rsidR="00B56E3D">
        <w:rPr>
          <w:lang w:val="en-US"/>
        </w:rPr>
      </w:r>
      <w:r w:rsidR="00B56E3D">
        <w:rPr>
          <w:lang w:val="en-US"/>
        </w:rPr>
        <w:fldChar w:fldCharType="separate"/>
      </w:r>
      <w:r w:rsidR="00B56E3D">
        <w:t xml:space="preserve">Figure </w:t>
      </w:r>
      <w:r w:rsidR="00B56E3D">
        <w:rPr>
          <w:noProof/>
        </w:rPr>
        <w:t>3</w:t>
      </w:r>
      <w:r w:rsidR="00B56E3D">
        <w:rPr>
          <w:lang w:val="en-US"/>
        </w:rPr>
        <w:fldChar w:fldCharType="end"/>
      </w:r>
      <w:r w:rsidR="00B56E3D">
        <w:rPr>
          <w:lang w:val="en-US"/>
        </w:rPr>
        <w:t xml:space="preserve"> or based on the transmission gap solution shown in </w:t>
      </w:r>
      <w:r w:rsidR="00B56E3D">
        <w:rPr>
          <w:lang w:val="en-US"/>
        </w:rPr>
        <w:fldChar w:fldCharType="begin"/>
      </w:r>
      <w:r w:rsidR="00B56E3D">
        <w:rPr>
          <w:lang w:val="en-US"/>
        </w:rPr>
        <w:instrText xml:space="preserve"> REF _Ref437864651 \h </w:instrText>
      </w:r>
      <w:r w:rsidR="00B56E3D">
        <w:rPr>
          <w:lang w:val="en-US"/>
        </w:rPr>
      </w:r>
      <w:r w:rsidR="00B56E3D">
        <w:rPr>
          <w:lang w:val="en-US"/>
        </w:rPr>
        <w:fldChar w:fldCharType="separate"/>
      </w:r>
      <w:r w:rsidR="00B56E3D">
        <w:t xml:space="preserve">Figure </w:t>
      </w:r>
      <w:r w:rsidR="00B56E3D">
        <w:rPr>
          <w:noProof/>
        </w:rPr>
        <w:t>4</w:t>
      </w:r>
      <w:r w:rsidR="00B56E3D">
        <w:rPr>
          <w:lang w:val="en-US"/>
        </w:rPr>
        <w:fldChar w:fldCharType="end"/>
      </w:r>
      <w:r w:rsidR="00B56E3D">
        <w:rPr>
          <w:lang w:val="en-US"/>
        </w:rPr>
        <w:t xml:space="preserve">, </w:t>
      </w:r>
      <w:r w:rsidR="00F03D77">
        <w:rPr>
          <w:lang w:val="en-US"/>
        </w:rPr>
        <w:t>as long as</w:t>
      </w:r>
      <w:r w:rsidR="00DE48BD">
        <w:rPr>
          <w:lang w:val="en-US"/>
        </w:rPr>
        <w:t xml:space="preserve"> </w:t>
      </w:r>
      <w:r w:rsidR="00F03D77">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num>
          <m:den>
            <m:r>
              <w:rPr>
                <w:rFonts w:ascii="Cambria Math" w:hAnsi="Cambria Math"/>
                <w:lang w:val="en-US"/>
              </w:rPr>
              <m:t>12</m:t>
            </m:r>
          </m:den>
        </m:f>
      </m:oMath>
      <w:r w:rsidR="00F03D77">
        <w:rPr>
          <w:lang w:val="en-US"/>
        </w:rPr>
        <w:t xml:space="preserve"> . </w:t>
      </w:r>
      <w:r w:rsidR="000624C0">
        <w:rPr>
          <w:lang w:val="en-US"/>
        </w:rPr>
        <w:t>Using the transmission gap solution and time-division multiplexing (TDM) principle for NB-PDSCH allows NB-</w:t>
      </w:r>
      <w:proofErr w:type="spellStart"/>
      <w:r w:rsidR="000624C0">
        <w:rPr>
          <w:lang w:val="en-US"/>
        </w:rPr>
        <w:t>IoT</w:t>
      </w:r>
      <w:proofErr w:type="spellEnd"/>
      <w:r w:rsidR="000624C0">
        <w:rPr>
          <w:lang w:val="en-US"/>
        </w:rPr>
        <w:t xml:space="preserve"> to keep the basic scheduling unit in frequency as 12 subcarriers, same as LTE. It further simplifies the configuration of </w:t>
      </w:r>
      <w:r w:rsidR="00633193">
        <w:rPr>
          <w:lang w:val="en-US"/>
        </w:rPr>
        <w:t>NB-PDCCH since NB-PDCCH will then be configured always based on 12 subcarriers.</w:t>
      </w:r>
    </w:p>
    <w:p w14:paraId="1BCD5498" w14:textId="3F9321BE" w:rsidR="00633193" w:rsidRDefault="00633193" w:rsidP="000E334E">
      <w:pPr>
        <w:rPr>
          <w:i/>
          <w:lang w:val="en-US"/>
        </w:rPr>
      </w:pPr>
      <w:r w:rsidRPr="00BA2129">
        <w:rPr>
          <w:i/>
          <w:lang w:val="en-US"/>
        </w:rPr>
        <w:t>Proposal 2: The basic scheduling unit in frequency for NB-PDSCH consists of 12 subcarriers.</w:t>
      </w:r>
    </w:p>
    <w:p w14:paraId="5715D197" w14:textId="2B0981A2" w:rsidR="00BA2129" w:rsidRPr="00BA2129" w:rsidRDefault="00BA2129" w:rsidP="000E334E">
      <w:pPr>
        <w:rPr>
          <w:i/>
          <w:lang w:val="en-US"/>
        </w:rPr>
      </w:pPr>
      <w:r>
        <w:rPr>
          <w:i/>
          <w:lang w:val="en-US"/>
        </w:rPr>
        <w:t xml:space="preserve">Proposal 3: Transmission gaps are introduced for NB-PDSCH </w:t>
      </w:r>
      <w:r w:rsidR="00D045AF">
        <w:rPr>
          <w:i/>
          <w:lang w:val="en-US"/>
        </w:rPr>
        <w:t>serving UEs with coupling loss 164 dB or higher, who are expected to have</w:t>
      </w:r>
      <w:r>
        <w:rPr>
          <w:i/>
          <w:lang w:val="en-US"/>
        </w:rPr>
        <w:t xml:space="preserve"> long transmission time.</w:t>
      </w:r>
    </w:p>
    <w:p w14:paraId="79D7D47E" w14:textId="77777777" w:rsidR="00FD18A8" w:rsidRDefault="00FD18A8" w:rsidP="000E334E">
      <w:pPr>
        <w:rPr>
          <w:lang w:val="en-US"/>
        </w:rPr>
      </w:pPr>
    </w:p>
    <w:p w14:paraId="67FFD6B0" w14:textId="6ED775DD" w:rsidR="00FD18A8" w:rsidRDefault="00F03D77" w:rsidP="000E334E">
      <w:pPr>
        <w:rPr>
          <w:lang w:val="en-US"/>
        </w:rPr>
      </w:pPr>
      <w:r w:rsidRPr="00F03D77">
        <w:rPr>
          <w:noProof/>
          <w:lang w:val="en-US" w:eastAsia="en-US"/>
        </w:rPr>
        <w:drawing>
          <wp:inline distT="0" distB="0" distL="0" distR="0" wp14:anchorId="1C311CF9" wp14:editId="34AA6E47">
            <wp:extent cx="5618074" cy="203621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7654" cy="2036064"/>
                    </a:xfrm>
                    <a:prstGeom prst="rect">
                      <a:avLst/>
                    </a:prstGeom>
                    <a:noFill/>
                    <a:ln>
                      <a:noFill/>
                    </a:ln>
                  </pic:spPr>
                </pic:pic>
              </a:graphicData>
            </a:graphic>
          </wp:inline>
        </w:drawing>
      </w:r>
    </w:p>
    <w:p w14:paraId="09555823" w14:textId="748CDFA4" w:rsidR="00F03D77" w:rsidRDefault="00F03D77" w:rsidP="00F03D77">
      <w:pPr>
        <w:pStyle w:val="Caption"/>
        <w:rPr>
          <w:lang w:val="en-US"/>
        </w:rPr>
      </w:pPr>
      <w:bookmarkStart w:id="4" w:name="_Ref437864651"/>
      <w:r>
        <w:t xml:space="preserve">Figure </w:t>
      </w:r>
      <w:r>
        <w:fldChar w:fldCharType="begin"/>
      </w:r>
      <w:r>
        <w:instrText xml:space="preserve"> SEQ Figure \* ARABIC </w:instrText>
      </w:r>
      <w:r>
        <w:fldChar w:fldCharType="separate"/>
      </w:r>
      <w:r w:rsidR="00171C05">
        <w:rPr>
          <w:noProof/>
        </w:rPr>
        <w:t>4</w:t>
      </w:r>
      <w:r>
        <w:fldChar w:fldCharType="end"/>
      </w:r>
      <w:bookmarkEnd w:id="4"/>
      <w:r>
        <w:t>: Introducing transmission gaps during a long NB-PDSCH trans</w:t>
      </w:r>
      <w:r w:rsidR="00253B9E">
        <w:t>mission to a coverage-</w:t>
      </w:r>
      <w:r>
        <w:t>limited UE.</w:t>
      </w:r>
    </w:p>
    <w:p w14:paraId="5CDC13F3" w14:textId="1E007F3C" w:rsidR="00FD18A8" w:rsidRDefault="00BA2129" w:rsidP="000E334E">
      <w:pPr>
        <w:rPr>
          <w:lang w:val="en-US"/>
        </w:rPr>
      </w:pPr>
      <w:r>
        <w:rPr>
          <w:lang w:val="en-US"/>
        </w:rPr>
        <w:t xml:space="preserve">Ideally, the basic scheduling unit in time for NB-PDSCH may be the same as that in LTE as well, i.e. </w:t>
      </w:r>
      <w:r w:rsidR="00A1175D">
        <w:rPr>
          <w:lang w:val="en-US"/>
        </w:rPr>
        <w:t>one</w:t>
      </w:r>
      <w:r>
        <w:rPr>
          <w:lang w:val="en-US"/>
        </w:rPr>
        <w:t xml:space="preserve"> </w:t>
      </w:r>
      <w:proofErr w:type="spellStart"/>
      <w:r>
        <w:rPr>
          <w:lang w:val="en-US"/>
        </w:rPr>
        <w:t>subframe</w:t>
      </w:r>
      <w:proofErr w:type="spellEnd"/>
      <w:r>
        <w:rPr>
          <w:lang w:val="en-US"/>
        </w:rPr>
        <w:t xml:space="preserve">. </w:t>
      </w:r>
      <w:r w:rsidR="00A1175D">
        <w:rPr>
          <w:lang w:val="en-US"/>
        </w:rPr>
        <w:t>This should work</w:t>
      </w:r>
      <w:r>
        <w:rPr>
          <w:lang w:val="en-US"/>
        </w:rPr>
        <w:t xml:space="preserve"> </w:t>
      </w:r>
      <w:r w:rsidR="004204E5">
        <w:rPr>
          <w:lang w:val="en-US"/>
        </w:rPr>
        <w:t xml:space="preserve">fine </w:t>
      </w:r>
      <w:r>
        <w:rPr>
          <w:lang w:val="en-US"/>
        </w:rPr>
        <w:t>for UE in normal coverage. Howeve</w:t>
      </w:r>
      <w:r w:rsidR="004204E5">
        <w:rPr>
          <w:lang w:val="en-US"/>
        </w:rPr>
        <w:t>r, for UEs in extended coverage</w:t>
      </w:r>
      <w:r w:rsidR="00A1175D">
        <w:rPr>
          <w:lang w:val="en-US"/>
        </w:rPr>
        <w:t>, one</w:t>
      </w:r>
      <w:r w:rsidR="004204E5">
        <w:rPr>
          <w:lang w:val="en-US"/>
        </w:rPr>
        <w:t xml:space="preserve"> </w:t>
      </w:r>
      <w:proofErr w:type="spellStart"/>
      <w:r w:rsidR="004204E5">
        <w:rPr>
          <w:lang w:val="en-US"/>
        </w:rPr>
        <w:t>subframe</w:t>
      </w:r>
      <w:proofErr w:type="spellEnd"/>
      <w:r w:rsidR="004204E5">
        <w:rPr>
          <w:lang w:val="en-US"/>
        </w:rPr>
        <w:t xml:space="preserve"> is too short as the actual transmission time will likely span over many subframes</w:t>
      </w:r>
      <w:r w:rsidR="00A1175D">
        <w:rPr>
          <w:lang w:val="en-US"/>
        </w:rPr>
        <w:t xml:space="preserve"> due to the amount of repetitions needed to increase coverage</w:t>
      </w:r>
      <w:r w:rsidR="004204E5">
        <w:rPr>
          <w:lang w:val="en-US"/>
        </w:rPr>
        <w:t>. For a UE who need</w:t>
      </w:r>
      <w:r w:rsidR="00A1175D">
        <w:rPr>
          <w:lang w:val="en-US"/>
        </w:rPr>
        <w:t>s</w:t>
      </w:r>
      <w:r w:rsidR="004204E5">
        <w:rPr>
          <w:lang w:val="en-US"/>
        </w:rPr>
        <w:t xml:space="preserve"> coverage extension of 10-20 dB over LTE, the transmission time </w:t>
      </w:r>
      <w:r w:rsidR="00A11D4E">
        <w:rPr>
          <w:lang w:val="en-US"/>
        </w:rPr>
        <w:t>would have</w:t>
      </w:r>
      <w:r w:rsidR="004204E5">
        <w:rPr>
          <w:lang w:val="en-US"/>
        </w:rPr>
        <w:t xml:space="preserve"> to be extended. Thus, </w:t>
      </w:r>
      <w:r w:rsidR="00A11D4E">
        <w:rPr>
          <w:lang w:val="en-US"/>
        </w:rPr>
        <w:t xml:space="preserve">a larger </w:t>
      </w:r>
      <w:r w:rsidR="004204E5">
        <w:rPr>
          <w:lang w:val="en-US"/>
        </w:rPr>
        <w:t xml:space="preserve">basic scheduling in time </w:t>
      </w:r>
      <w:r w:rsidR="00A11D4E">
        <w:rPr>
          <w:lang w:val="en-US"/>
        </w:rPr>
        <w:t>may be considered for</w:t>
      </w:r>
      <w:r w:rsidR="00A1175D">
        <w:rPr>
          <w:lang w:val="en-US"/>
        </w:rPr>
        <w:t xml:space="preserve"> UEs who need </w:t>
      </w:r>
      <w:r w:rsidR="00AF6593">
        <w:rPr>
          <w:lang w:val="en-US"/>
        </w:rPr>
        <w:t xml:space="preserve">large </w:t>
      </w:r>
      <w:r w:rsidR="00A1175D">
        <w:rPr>
          <w:lang w:val="en-US"/>
        </w:rPr>
        <w:t>coverage extension</w:t>
      </w:r>
      <w:r w:rsidR="004204E5">
        <w:rPr>
          <w:lang w:val="en-US"/>
        </w:rPr>
        <w:t>.</w:t>
      </w:r>
    </w:p>
    <w:p w14:paraId="14ABE528" w14:textId="141DD660" w:rsidR="000E334E" w:rsidRPr="008048E5" w:rsidRDefault="004204E5" w:rsidP="000E334E">
      <w:pPr>
        <w:rPr>
          <w:i/>
          <w:lang w:val="en-US"/>
        </w:rPr>
      </w:pPr>
      <w:r w:rsidRPr="008048E5">
        <w:rPr>
          <w:i/>
          <w:lang w:val="en-US"/>
        </w:rPr>
        <w:lastRenderedPageBreak/>
        <w:t>Proposal 4: For UEs</w:t>
      </w:r>
      <w:r w:rsidR="00A1175D" w:rsidRPr="008048E5">
        <w:rPr>
          <w:i/>
          <w:lang w:val="en-US"/>
        </w:rPr>
        <w:t xml:space="preserve"> who require coverage extension less than 10 dB, the basic scheduling unit in time for NB-PDSCH is one </w:t>
      </w:r>
      <w:proofErr w:type="spellStart"/>
      <w:r w:rsidR="00A1175D" w:rsidRPr="008048E5">
        <w:rPr>
          <w:i/>
          <w:lang w:val="en-US"/>
        </w:rPr>
        <w:t>subframe</w:t>
      </w:r>
      <w:proofErr w:type="spellEnd"/>
      <w:r w:rsidR="00A1175D" w:rsidRPr="008048E5">
        <w:rPr>
          <w:i/>
          <w:lang w:val="en-US"/>
        </w:rPr>
        <w:t xml:space="preserve">, i.e. 1 </w:t>
      </w:r>
      <w:proofErr w:type="spellStart"/>
      <w:r w:rsidR="00A1175D" w:rsidRPr="008048E5">
        <w:rPr>
          <w:i/>
          <w:lang w:val="en-US"/>
        </w:rPr>
        <w:t>ms.</w:t>
      </w:r>
      <w:proofErr w:type="spellEnd"/>
      <w:r w:rsidR="00A1175D" w:rsidRPr="008048E5">
        <w:rPr>
          <w:i/>
          <w:lang w:val="en-US"/>
        </w:rPr>
        <w:t xml:space="preserve"> For UEs who require coverage extension 10 dB or higher, the basic scheduling unit in time for NB-PDSCH</w:t>
      </w:r>
      <w:r w:rsidR="00AF6593">
        <w:rPr>
          <w:i/>
          <w:lang w:val="en-US"/>
        </w:rPr>
        <w:t xml:space="preserve"> is X subframes, X&gt;1. The value of X is FFS</w:t>
      </w:r>
      <w:proofErr w:type="gramStart"/>
      <w:r w:rsidR="00AF6593">
        <w:rPr>
          <w:i/>
          <w:lang w:val="en-US"/>
        </w:rPr>
        <w:t>.</w:t>
      </w:r>
      <w:r w:rsidR="00A1175D" w:rsidRPr="008048E5">
        <w:rPr>
          <w:i/>
          <w:lang w:val="en-US"/>
        </w:rPr>
        <w:t>.</w:t>
      </w:r>
      <w:proofErr w:type="gramEnd"/>
    </w:p>
    <w:p w14:paraId="025E298B" w14:textId="645B9C33" w:rsidR="00970763" w:rsidRPr="00FA20DC" w:rsidRDefault="00970763" w:rsidP="00970763">
      <w:pPr>
        <w:pStyle w:val="Heading1"/>
      </w:pPr>
      <w:r>
        <w:t>Channel coding scheme</w:t>
      </w:r>
    </w:p>
    <w:p w14:paraId="200BBE6B" w14:textId="70B974B5" w:rsidR="001E71E2" w:rsidRDefault="00AF31A5" w:rsidP="004A37FB">
      <w:pPr>
        <w:rPr>
          <w:lang w:val="en-US"/>
        </w:rPr>
      </w:pPr>
      <w:r>
        <w:rPr>
          <w:lang w:val="en-US"/>
        </w:rPr>
        <w:t>To reduce UE complexity, we propose that the LTE tail-biting convolutional code is used instead of turbo code for NB-PUSCH.</w:t>
      </w:r>
    </w:p>
    <w:p w14:paraId="473CD513" w14:textId="1CF7E528" w:rsidR="00284083" w:rsidRDefault="00F25CB9" w:rsidP="004A37FB">
      <w:r>
        <w:rPr>
          <w:lang w:val="en-US"/>
        </w:rPr>
        <w:t xml:space="preserve">The complexity of tail-biting convolutional code can be reduced by using a </w:t>
      </w:r>
      <w:r w:rsidR="00284083">
        <w:rPr>
          <w:lang w:val="en-US"/>
        </w:rPr>
        <w:t xml:space="preserve">conventional </w:t>
      </w:r>
      <w:r w:rsidR="00457D0C">
        <w:rPr>
          <w:lang w:val="en-US"/>
        </w:rPr>
        <w:t>Viterbi</w:t>
      </w:r>
      <w:r>
        <w:rPr>
          <w:lang w:val="en-US"/>
        </w:rPr>
        <w:t xml:space="preserve"> decoder with a small extension factor</w:t>
      </w:r>
      <w:r w:rsidR="00457D0C">
        <w:rPr>
          <w:lang w:val="en-US"/>
        </w:rPr>
        <w:t xml:space="preserve"> as proposed in [3]</w:t>
      </w:r>
      <w:r>
        <w:rPr>
          <w:lang w:val="en-US"/>
        </w:rPr>
        <w:t>.</w:t>
      </w:r>
      <w:r w:rsidR="006B5572">
        <w:rPr>
          <w:lang w:val="en-US"/>
        </w:rPr>
        <w:t xml:space="preserve"> </w:t>
      </w:r>
      <w:r w:rsidR="00A5549C">
        <w:t xml:space="preserve">In essence, the decoder works with any level of trellis extension. At the end of the extended trellis, the trace-back path starts from the ending state that has the best accumulated decoding metric. The ending state does not have to be the same as the starting state on the circular trellis. The decoded bits are taken from the middle of the trace-back path, and a circular shift is applied to restore the right ordering of the decoded bits. </w:t>
      </w:r>
      <w:r w:rsidR="00A5549C">
        <w:fldChar w:fldCharType="begin"/>
      </w:r>
      <w:r w:rsidR="00A5549C">
        <w:instrText xml:space="preserve"> REF _Ref437867054 \h </w:instrText>
      </w:r>
      <w:r w:rsidR="00A5549C">
        <w:fldChar w:fldCharType="separate"/>
      </w:r>
      <w:r w:rsidR="00A5549C">
        <w:t xml:space="preserve">Figure </w:t>
      </w:r>
      <w:r w:rsidR="00A5549C">
        <w:rPr>
          <w:noProof/>
        </w:rPr>
        <w:t>5</w:t>
      </w:r>
      <w:r w:rsidR="00A5549C">
        <w:fldChar w:fldCharType="end"/>
      </w:r>
      <w:r w:rsidR="00A5549C">
        <w:t xml:space="preserve"> illustrates trellis extension and the trace-back path (represented in red), which starts from the state that has the best decoding metric at the end of the extended decoder trellis. The decoded bits along the trace-back </w:t>
      </w:r>
      <w:proofErr w:type="gramStart"/>
      <w:r w:rsidR="00A5549C">
        <w:t>path,</w:t>
      </w:r>
      <w:proofErr w:type="gramEnd"/>
      <w:r w:rsidR="00A5549C">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K-1</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xK-1</m:t>
            </m:r>
          </m:sub>
        </m:sSub>
        <m:r>
          <w:rPr>
            <w:rFonts w:ascii="Cambria Math" w:hAnsi="Cambria Math"/>
          </w:rPr>
          <m:t>'</m:t>
        </m:r>
      </m:oMath>
      <w:r w:rsidR="00A5549C">
        <w:t xml:space="preserve"> are identified, where </w:t>
      </w:r>
      <m:oMath>
        <m:r>
          <w:rPr>
            <w:rFonts w:ascii="Cambria Math" w:hAnsi="Cambria Math"/>
          </w:rPr>
          <m:t>x</m:t>
        </m:r>
      </m:oMath>
      <w:r w:rsidR="00A5549C">
        <w:t xml:space="preserve"> is the trellis extension factor and </w:t>
      </w:r>
      <m:oMath>
        <m:r>
          <w:rPr>
            <w:rFonts w:ascii="Cambria Math" w:hAnsi="Cambria Math"/>
          </w:rPr>
          <m:t>K</m:t>
        </m:r>
      </m:oMath>
      <w:r w:rsidR="00A5549C">
        <w:t xml:space="preserve"> is the length of the information block. The edge </w:t>
      </w:r>
      <m:oMath>
        <m:r>
          <w:rPr>
            <w:rFonts w:ascii="Cambria Math" w:hAnsi="Cambria Math"/>
          </w:rPr>
          <m:t>xK/2</m:t>
        </m:r>
      </m:oMath>
      <w:r w:rsidR="00A5549C">
        <w:t xml:space="preserve"> decoded bits on both ends of the extended trellis is discarded, giving </w:t>
      </w:r>
      <m:oMath>
        <m:r>
          <w:rPr>
            <w:rFonts w:ascii="Cambria Math" w:hAnsi="Cambria Math"/>
          </w:rPr>
          <m:t>K</m:t>
        </m:r>
      </m:oMath>
      <w:r w:rsidR="00A5549C">
        <w:t xml:space="preserve"> decoded bits</w:t>
      </w:r>
      <w:proofErr w:type="gramStart"/>
      <w:r w:rsidR="00A5549C">
        <w:t xml:space="preserve">, </w:t>
      </w:r>
      <w:proofErr w:type="gramEnd"/>
      <m:oMath>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r>
              <w:rPr>
                <w:rFonts w:ascii="Cambria Math" w:hAnsi="Cambria Math"/>
              </w:rPr>
              <m:t>+1</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K-1</m:t>
            </m:r>
          </m:sub>
        </m:sSub>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r>
              <w:rPr>
                <w:rFonts w:ascii="Cambria Math" w:hAnsi="Cambria Math"/>
              </w:rPr>
              <m:t>0</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r>
              <w:rPr>
                <w:rFonts w:ascii="Cambria Math" w:hAnsi="Cambria Math"/>
              </w:rPr>
              <m:t>-1</m:t>
            </m:r>
          </m:sub>
          <m:sup>
            <m:r>
              <w:rPr>
                <w:rFonts w:ascii="Cambria Math" w:hAnsi="Cambria Math"/>
              </w:rPr>
              <m:t>'</m:t>
            </m:r>
          </m:sup>
        </m:sSubSup>
      </m:oMath>
      <w:r w:rsidR="00A5549C">
        <w:t>. Afterwards, a proper circular shift gives the decoded bits in the right order</w:t>
      </w:r>
      <w:proofErr w:type="gramStart"/>
      <w:r w:rsidR="00A5549C">
        <w:t xml:space="preserve">, </w:t>
      </w:r>
      <w:proofErr w:type="gramEnd"/>
      <m:oMath>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r>
              <w:rPr>
                <w:rFonts w:ascii="Cambria Math" w:hAnsi="Cambria Math"/>
              </w:rPr>
              <m:t>0</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f>
              <m:fPr>
                <m:ctrlPr>
                  <w:rPr>
                    <w:rFonts w:ascii="Cambria Math" w:hAnsi="Cambria Math"/>
                    <w:i/>
                  </w:rPr>
                </m:ctrlPr>
              </m:fPr>
              <m:num>
                <m:r>
                  <w:rPr>
                    <w:rFonts w:ascii="Cambria Math" w:hAnsi="Cambria Math"/>
                  </w:rPr>
                  <m:t>xK</m:t>
                </m:r>
              </m:num>
              <m:den>
                <m:r>
                  <w:rPr>
                    <w:rFonts w:ascii="Cambria Math" w:hAnsi="Cambria Math"/>
                  </w:rPr>
                  <m:t>2</m:t>
                </m:r>
              </m:den>
            </m:f>
            <m:r>
              <w:rPr>
                <w:rFonts w:ascii="Cambria Math" w:hAnsi="Cambria Math"/>
              </w:rPr>
              <m:t>+1</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K-1</m:t>
            </m:r>
          </m:sub>
        </m:sSub>
      </m:oMath>
      <w:r w:rsidR="00A5549C">
        <w:t>.</w:t>
      </w:r>
    </w:p>
    <w:p w14:paraId="2238B4B6" w14:textId="77777777" w:rsidR="00A5549C" w:rsidRDefault="00A5549C" w:rsidP="004A37FB">
      <w:pPr>
        <w:rPr>
          <w:lang w:val="en-US"/>
        </w:rPr>
      </w:pPr>
    </w:p>
    <w:p w14:paraId="5F10FC1F" w14:textId="3C59D460" w:rsidR="00457D0C" w:rsidRDefault="006B5572" w:rsidP="006B5572">
      <w:pPr>
        <w:jc w:val="center"/>
        <w:rPr>
          <w:lang w:val="en-US"/>
        </w:rPr>
      </w:pPr>
      <w:r w:rsidRPr="006B5572">
        <w:rPr>
          <w:noProof/>
          <w:lang w:val="en-US" w:eastAsia="en-US"/>
        </w:rPr>
        <w:drawing>
          <wp:inline distT="0" distB="0" distL="0" distR="0" wp14:anchorId="12872304" wp14:editId="5C0C802A">
            <wp:extent cx="4381799" cy="22774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1708" cy="2277383"/>
                    </a:xfrm>
                    <a:prstGeom prst="rect">
                      <a:avLst/>
                    </a:prstGeom>
                    <a:noFill/>
                    <a:ln>
                      <a:noFill/>
                    </a:ln>
                  </pic:spPr>
                </pic:pic>
              </a:graphicData>
            </a:graphic>
          </wp:inline>
        </w:drawing>
      </w:r>
    </w:p>
    <w:p w14:paraId="70FA830D" w14:textId="626E3926" w:rsidR="006B5572" w:rsidRDefault="006B5572" w:rsidP="006B5572">
      <w:pPr>
        <w:pStyle w:val="Caption"/>
      </w:pPr>
      <w:bookmarkStart w:id="5" w:name="_Ref437867054"/>
      <w:r>
        <w:t xml:space="preserve">Figure </w:t>
      </w:r>
      <w:r>
        <w:fldChar w:fldCharType="begin"/>
      </w:r>
      <w:r>
        <w:instrText xml:space="preserve"> SEQ Figure \* ARABIC </w:instrText>
      </w:r>
      <w:r>
        <w:fldChar w:fldCharType="separate"/>
      </w:r>
      <w:r w:rsidR="00171C05">
        <w:rPr>
          <w:noProof/>
        </w:rPr>
        <w:t>5</w:t>
      </w:r>
      <w:r>
        <w:fldChar w:fldCharType="end"/>
      </w:r>
      <w:bookmarkEnd w:id="5"/>
      <w:r>
        <w:t>: Extend the decoding trellis by x% of the full trellis.</w:t>
      </w:r>
    </w:p>
    <w:p w14:paraId="7D07A34C" w14:textId="54825027" w:rsidR="00171C05" w:rsidRDefault="00171C05" w:rsidP="00171C05">
      <w:r>
        <w:fldChar w:fldCharType="begin"/>
      </w:r>
      <w:r>
        <w:instrText xml:space="preserve"> REF _Ref437868372 \h </w:instrText>
      </w:r>
      <w:r>
        <w:fldChar w:fldCharType="separate"/>
      </w:r>
      <w:r>
        <w:t xml:space="preserve">Figure </w:t>
      </w:r>
      <w:r>
        <w:rPr>
          <w:noProof/>
        </w:rPr>
        <w:t>6</w:t>
      </w:r>
      <w:r>
        <w:fldChar w:fldCharType="end"/>
      </w:r>
      <w:r>
        <w:t xml:space="preserve"> - </w:t>
      </w:r>
      <w:r>
        <w:fldChar w:fldCharType="begin"/>
      </w:r>
      <w:r>
        <w:instrText xml:space="preserve"> REF _Ref437868376 \h </w:instrText>
      </w:r>
      <w:r>
        <w:fldChar w:fldCharType="separate"/>
      </w:r>
      <w:r>
        <w:t xml:space="preserve">Figure </w:t>
      </w:r>
      <w:r>
        <w:rPr>
          <w:noProof/>
        </w:rPr>
        <w:t>8</w:t>
      </w:r>
      <w:r>
        <w:fldChar w:fldCharType="end"/>
      </w:r>
      <w:r>
        <w:t xml:space="preserve"> show performance of tail-biting decoding in AWGN with various trellis extension factors for coding rates 0.3, 0.6, and 0.9, respectively. It can be seen that for coding rate 0.6 and lower, it suffices to use extension factor 5%, or equivalently 50 extra trellis stages for a block size of 1000 information bits. For a higher coding rate, a higher trellis extension factor is needed to achieve performance close to the maximum likelihood (ML) decoder. For example according to </w:t>
      </w:r>
      <w:r>
        <w:fldChar w:fldCharType="begin"/>
      </w:r>
      <w:r>
        <w:instrText xml:space="preserve"> REF _Ref437868376 \h </w:instrText>
      </w:r>
      <w:r>
        <w:fldChar w:fldCharType="separate"/>
      </w:r>
      <w:r>
        <w:t xml:space="preserve">Figure </w:t>
      </w:r>
      <w:r>
        <w:rPr>
          <w:noProof/>
        </w:rPr>
        <w:t>8</w:t>
      </w:r>
      <w:r>
        <w:fldChar w:fldCharType="end"/>
      </w:r>
      <w:r>
        <w:t xml:space="preserve">, using extension factor 15%, or equivalently 150 extra trellis stages for a block size of 1000 information bits, the </w:t>
      </w:r>
      <w:r w:rsidR="00C15DA3">
        <w:t xml:space="preserve">suboptimal </w:t>
      </w:r>
      <w:r>
        <w:t>decoder performance is close to the ML decoder.</w:t>
      </w:r>
      <w:r w:rsidR="00C15DA3">
        <w:t xml:space="preserve"> </w:t>
      </w:r>
    </w:p>
    <w:p w14:paraId="2C7DE4E0" w14:textId="50569D87" w:rsidR="00716472" w:rsidRDefault="00716472" w:rsidP="00171C05">
      <w:r>
        <w:t>In conclusion, the complexity of tail-biting decoder can be significantly reduced, compared to the ML decoder, by using a regular Viterbi decoder with a small trellis extension factor. Furthermore, the complexity increase due to trellis extension compared to a decoding a tail-terminating code may be eased by allowing for a longer processing time for NB-PDSCH.</w:t>
      </w:r>
      <w:r w:rsidR="00252674">
        <w:t xml:space="preserve"> Since the rate-matching algorithm for the LTE tail-biting convolutional code is well developed in [4], it is beneficial to adopt it for NB-PDSCH.</w:t>
      </w:r>
    </w:p>
    <w:p w14:paraId="6625AE7B" w14:textId="77777777" w:rsidR="00252674" w:rsidRDefault="00252674" w:rsidP="00171C05"/>
    <w:p w14:paraId="25E61E7C" w14:textId="397F5D29" w:rsidR="00252674" w:rsidRPr="00252674" w:rsidRDefault="00252674" w:rsidP="00171C05">
      <w:pPr>
        <w:rPr>
          <w:i/>
        </w:rPr>
      </w:pPr>
      <w:r w:rsidRPr="00252674">
        <w:rPr>
          <w:i/>
        </w:rPr>
        <w:t>Proposal 5: NB-PDSCH adopts the LTE tail-biting convolutional code.</w:t>
      </w:r>
    </w:p>
    <w:p w14:paraId="3D1A856F" w14:textId="403A9777" w:rsidR="00457D0C" w:rsidRDefault="00171C05" w:rsidP="00171C05">
      <w:pPr>
        <w:jc w:val="center"/>
        <w:rPr>
          <w:lang w:val="en-US"/>
        </w:rPr>
      </w:pPr>
      <w:r w:rsidRPr="00171C05">
        <w:rPr>
          <w:noProof/>
          <w:lang w:val="en-US" w:eastAsia="en-US"/>
        </w:rPr>
        <w:lastRenderedPageBreak/>
        <w:drawing>
          <wp:inline distT="0" distB="0" distL="0" distR="0" wp14:anchorId="22D1820E" wp14:editId="71E2F6C6">
            <wp:extent cx="3837345" cy="298460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41999" cy="2988221"/>
                    </a:xfrm>
                    <a:prstGeom prst="rect">
                      <a:avLst/>
                    </a:prstGeom>
                  </pic:spPr>
                </pic:pic>
              </a:graphicData>
            </a:graphic>
          </wp:inline>
        </w:drawing>
      </w:r>
    </w:p>
    <w:p w14:paraId="51877A71" w14:textId="7B79608E" w:rsidR="00171C05" w:rsidRDefault="00171C05" w:rsidP="00171C05">
      <w:pPr>
        <w:pStyle w:val="Caption"/>
      </w:pPr>
      <w:bookmarkStart w:id="6" w:name="_Ref437868372"/>
      <w:r>
        <w:t xml:space="preserve">Figure </w:t>
      </w:r>
      <w:r>
        <w:fldChar w:fldCharType="begin"/>
      </w:r>
      <w:r>
        <w:instrText xml:space="preserve"> SEQ Figure \* ARABIC </w:instrText>
      </w:r>
      <w:r>
        <w:fldChar w:fldCharType="separate"/>
      </w:r>
      <w:r>
        <w:rPr>
          <w:noProof/>
        </w:rPr>
        <w:t>6</w:t>
      </w:r>
      <w:r>
        <w:fldChar w:fldCharType="end"/>
      </w:r>
      <w:bookmarkEnd w:id="6"/>
      <w:r>
        <w:t>: LTE tail-biting convolutional code performance with a small trellis extension. Code rate 0.3 and information block length 1000 bits.</w:t>
      </w:r>
    </w:p>
    <w:p w14:paraId="10152366" w14:textId="235D5777" w:rsidR="00171C05" w:rsidRDefault="00171C05" w:rsidP="00171C05">
      <w:pPr>
        <w:jc w:val="center"/>
      </w:pPr>
      <w:r w:rsidRPr="00171C05">
        <w:rPr>
          <w:noProof/>
          <w:lang w:val="en-US" w:eastAsia="en-US"/>
        </w:rPr>
        <w:drawing>
          <wp:inline distT="0" distB="0" distL="0" distR="0" wp14:anchorId="4EF12F8B" wp14:editId="76DD1C07">
            <wp:extent cx="3862425" cy="3004110"/>
            <wp:effectExtent l="0" t="0" r="508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66466" cy="3007253"/>
                    </a:xfrm>
                    <a:prstGeom prst="rect">
                      <a:avLst/>
                    </a:prstGeom>
                  </pic:spPr>
                </pic:pic>
              </a:graphicData>
            </a:graphic>
          </wp:inline>
        </w:drawing>
      </w:r>
    </w:p>
    <w:p w14:paraId="54A1ACD5" w14:textId="41E4BA21" w:rsidR="00171C05" w:rsidRDefault="00171C05" w:rsidP="00171C05">
      <w:pPr>
        <w:pStyle w:val="Caption"/>
      </w:pPr>
      <w:r>
        <w:t xml:space="preserve">Figure </w:t>
      </w:r>
      <w:r>
        <w:fldChar w:fldCharType="begin"/>
      </w:r>
      <w:r>
        <w:instrText xml:space="preserve"> SEQ Figure \* ARABIC </w:instrText>
      </w:r>
      <w:r>
        <w:fldChar w:fldCharType="separate"/>
      </w:r>
      <w:r>
        <w:rPr>
          <w:noProof/>
        </w:rPr>
        <w:t>7</w:t>
      </w:r>
      <w:r>
        <w:fldChar w:fldCharType="end"/>
      </w:r>
      <w:r>
        <w:t>: LTE tail-biting convolutional code performance with a small trellis extension. Code rate 0.6 and information block length 1000 bits.</w:t>
      </w:r>
    </w:p>
    <w:p w14:paraId="5AA2445D" w14:textId="271AD156" w:rsidR="00171C05" w:rsidRPr="00171C05" w:rsidRDefault="00171C05" w:rsidP="00171C05">
      <w:pPr>
        <w:pStyle w:val="Caption"/>
      </w:pPr>
      <w:r w:rsidRPr="00171C05">
        <w:rPr>
          <w:noProof/>
          <w:lang w:val="en-US" w:eastAsia="en-US"/>
        </w:rPr>
        <w:lastRenderedPageBreak/>
        <w:drawing>
          <wp:inline distT="0" distB="0" distL="0" distR="0" wp14:anchorId="4ADD9926" wp14:editId="616FB943">
            <wp:extent cx="3950208" cy="30723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953907" cy="3075261"/>
                    </a:xfrm>
                    <a:prstGeom prst="rect">
                      <a:avLst/>
                    </a:prstGeom>
                  </pic:spPr>
                </pic:pic>
              </a:graphicData>
            </a:graphic>
          </wp:inline>
        </w:drawing>
      </w:r>
    </w:p>
    <w:p w14:paraId="18C8A727" w14:textId="213204E8" w:rsidR="00F25CB9" w:rsidRPr="007419EC" w:rsidRDefault="00171C05" w:rsidP="007419EC">
      <w:pPr>
        <w:pStyle w:val="Caption"/>
      </w:pPr>
      <w:bookmarkStart w:id="7" w:name="_Ref437868376"/>
      <w:r>
        <w:t xml:space="preserve">Figure </w:t>
      </w:r>
      <w:r>
        <w:fldChar w:fldCharType="begin"/>
      </w:r>
      <w:r>
        <w:instrText xml:space="preserve"> SEQ Figure \* ARABIC </w:instrText>
      </w:r>
      <w:r>
        <w:fldChar w:fldCharType="separate"/>
      </w:r>
      <w:r>
        <w:rPr>
          <w:noProof/>
        </w:rPr>
        <w:t>8</w:t>
      </w:r>
      <w:r>
        <w:fldChar w:fldCharType="end"/>
      </w:r>
      <w:bookmarkEnd w:id="7"/>
      <w:r>
        <w:t>: LTE tail-biting convolutional code performance with a small trellis extension. Code rate 0.9 and info</w:t>
      </w:r>
      <w:r w:rsidR="007419EC">
        <w:t>rmation block length 1000 bits.</w:t>
      </w:r>
    </w:p>
    <w:p w14:paraId="69604CDC" w14:textId="7A72F937" w:rsidR="00055FB3" w:rsidRPr="00E330BC" w:rsidRDefault="00055FB3" w:rsidP="00055FB3">
      <w:pPr>
        <w:pStyle w:val="Heading1"/>
      </w:pPr>
      <w:r>
        <w:t>Conclusions</w:t>
      </w:r>
    </w:p>
    <w:p w14:paraId="1C6EB1F9" w14:textId="0B0B5173" w:rsidR="006D203B" w:rsidRDefault="00511F61" w:rsidP="00055FB3">
      <w:pPr>
        <w:pStyle w:val="BodyText"/>
      </w:pPr>
      <w:r>
        <w:t xml:space="preserve">In this contribution, we have discussed </w:t>
      </w:r>
      <w:r w:rsidR="00D045AF">
        <w:t>a number of</w:t>
      </w:r>
      <w:r>
        <w:t xml:space="preserve"> design considerations that should be taken into account for </w:t>
      </w:r>
      <w:r w:rsidR="009A5449">
        <w:rPr>
          <w:lang w:val="en-US"/>
        </w:rPr>
        <w:t>NB-PDSCH</w:t>
      </w:r>
      <w:r w:rsidR="00ED1D5D">
        <w:rPr>
          <w:lang w:val="en-US"/>
        </w:rPr>
        <w:t xml:space="preserve"> </w:t>
      </w:r>
      <w:r>
        <w:t>design.</w:t>
      </w:r>
      <w:r w:rsidR="00D045AF">
        <w:t xml:space="preserve"> Based on the discussions, we make the below proposals.</w:t>
      </w:r>
    </w:p>
    <w:p w14:paraId="3EDF48AA" w14:textId="77777777" w:rsidR="00E15682" w:rsidRDefault="00E15682" w:rsidP="00055FB3">
      <w:pPr>
        <w:pStyle w:val="BodyText"/>
      </w:pPr>
    </w:p>
    <w:p w14:paraId="188BDBB5" w14:textId="26BDDD98" w:rsidR="009A5449" w:rsidRPr="006166E4" w:rsidRDefault="000C527F" w:rsidP="009A5449">
      <w:pPr>
        <w:pStyle w:val="Heading2"/>
        <w:numPr>
          <w:ilvl w:val="0"/>
          <w:numId w:val="0"/>
        </w:numPr>
        <w:ind w:left="576" w:hanging="576"/>
        <w:rPr>
          <w:rFonts w:cs="Times New Roman"/>
          <w:bCs/>
          <w:i/>
          <w:sz w:val="20"/>
          <w:szCs w:val="20"/>
        </w:rPr>
      </w:pPr>
      <w:r>
        <w:rPr>
          <w:rFonts w:cs="Times New Roman"/>
          <w:bCs/>
          <w:i/>
          <w:sz w:val="20"/>
          <w:szCs w:val="20"/>
        </w:rPr>
        <w:t>Proposal 1: NB-</w:t>
      </w:r>
      <w:proofErr w:type="spellStart"/>
      <w:r>
        <w:rPr>
          <w:rFonts w:cs="Times New Roman"/>
          <w:bCs/>
          <w:i/>
          <w:sz w:val="20"/>
          <w:szCs w:val="20"/>
        </w:rPr>
        <w:t>IoT</w:t>
      </w:r>
      <w:proofErr w:type="spellEnd"/>
      <w:r>
        <w:rPr>
          <w:rFonts w:cs="Times New Roman"/>
          <w:bCs/>
          <w:i/>
          <w:sz w:val="20"/>
          <w:szCs w:val="20"/>
        </w:rPr>
        <w:t xml:space="preserve"> downlink numerology </w:t>
      </w:r>
      <w:r w:rsidR="009A5449" w:rsidRPr="003F6033">
        <w:rPr>
          <w:rFonts w:cs="Times New Roman"/>
          <w:bCs/>
          <w:i/>
          <w:sz w:val="20"/>
          <w:szCs w:val="20"/>
        </w:rPr>
        <w:t>follows that of LTE with one PRB.</w:t>
      </w:r>
    </w:p>
    <w:p w14:paraId="4CB28FF4" w14:textId="77777777" w:rsidR="009A5449" w:rsidRDefault="009A5449" w:rsidP="009A5449">
      <w:pPr>
        <w:rPr>
          <w:i/>
          <w:lang w:val="en-US"/>
        </w:rPr>
      </w:pPr>
      <w:r w:rsidRPr="00BA2129">
        <w:rPr>
          <w:i/>
          <w:lang w:val="en-US"/>
        </w:rPr>
        <w:t>Proposal 2: The basic scheduling unit in frequency for NB-PDSCH consists of 12 subcarriers.</w:t>
      </w:r>
    </w:p>
    <w:p w14:paraId="79495576" w14:textId="77777777" w:rsidR="009A5449" w:rsidRPr="00BA2129" w:rsidRDefault="009A5449" w:rsidP="009A5449">
      <w:pPr>
        <w:rPr>
          <w:i/>
          <w:lang w:val="en-US"/>
        </w:rPr>
      </w:pPr>
      <w:r>
        <w:rPr>
          <w:i/>
          <w:lang w:val="en-US"/>
        </w:rPr>
        <w:t>Proposal 3: Transmission gaps are introduced for NB-PDSCH that has long transmission time.</w:t>
      </w:r>
    </w:p>
    <w:p w14:paraId="47095953" w14:textId="74E57AC5" w:rsidR="00EC1754" w:rsidRDefault="009A5449" w:rsidP="009A5449">
      <w:pPr>
        <w:rPr>
          <w:i/>
          <w:lang w:val="en-US"/>
        </w:rPr>
      </w:pPr>
      <w:r w:rsidRPr="008048E5">
        <w:rPr>
          <w:i/>
          <w:lang w:val="en-US"/>
        </w:rPr>
        <w:t xml:space="preserve">Proposal 4: For UEs who require coverage extension less than 10 dB, the basic scheduling unit in time for NB-PDSCH is one </w:t>
      </w:r>
      <w:proofErr w:type="spellStart"/>
      <w:r w:rsidRPr="008048E5">
        <w:rPr>
          <w:i/>
          <w:lang w:val="en-US"/>
        </w:rPr>
        <w:t>subframe</w:t>
      </w:r>
      <w:proofErr w:type="spellEnd"/>
      <w:r w:rsidRPr="008048E5">
        <w:rPr>
          <w:i/>
          <w:lang w:val="en-US"/>
        </w:rPr>
        <w:t xml:space="preserve">, i.e. 1 </w:t>
      </w:r>
      <w:proofErr w:type="spellStart"/>
      <w:r w:rsidRPr="008048E5">
        <w:rPr>
          <w:i/>
          <w:lang w:val="en-US"/>
        </w:rPr>
        <w:t>ms.</w:t>
      </w:r>
      <w:proofErr w:type="spellEnd"/>
      <w:r w:rsidRPr="008048E5">
        <w:rPr>
          <w:i/>
          <w:lang w:val="en-US"/>
        </w:rPr>
        <w:t xml:space="preserve"> For UEs who require coverage extension 10 dB or higher, the basic scheduling unit in time for NB-PDSCH is</w:t>
      </w:r>
      <w:r w:rsidR="00AF6593">
        <w:rPr>
          <w:i/>
          <w:lang w:val="en-US"/>
        </w:rPr>
        <w:t xml:space="preserve"> X subframes, X&gt;1. The value of X is FFS</w:t>
      </w:r>
      <w:r w:rsidRPr="008048E5">
        <w:rPr>
          <w:i/>
          <w:lang w:val="en-US"/>
        </w:rPr>
        <w:t>.</w:t>
      </w:r>
    </w:p>
    <w:p w14:paraId="71736DF0" w14:textId="5C30BA86" w:rsidR="00252674" w:rsidRPr="00252674" w:rsidRDefault="00252674" w:rsidP="009A5449">
      <w:pPr>
        <w:rPr>
          <w:i/>
        </w:rPr>
      </w:pPr>
      <w:r w:rsidRPr="00252674">
        <w:rPr>
          <w:i/>
        </w:rPr>
        <w:t>Proposal 5: NB-PDSCH adopts the LTE tail-biting convolutional code.</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22A3D6A6"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8" w:name="_Ref433894019"/>
      <w:bookmarkStart w:id="9" w:name="_Ref430944728"/>
      <w:r>
        <w:rPr>
          <w:lang w:val="en-US"/>
        </w:rPr>
        <w:t>R</w:t>
      </w:r>
      <w:r w:rsidR="00F5137F">
        <w:t>P-151621, “New Work Item: Narrow</w:t>
      </w:r>
      <w:r w:rsidR="00AA3840">
        <w:t>b</w:t>
      </w:r>
      <w:r w:rsidR="00F5137F">
        <w:t>and IOT (NB-IOT),” source Qualcomm Inc., RAN #69</w:t>
      </w:r>
      <w:r w:rsidR="00F47FEC">
        <w:t>, Sept. 2015</w:t>
      </w:r>
      <w:r w:rsidR="00F5137F">
        <w:t>.</w:t>
      </w:r>
      <w:bookmarkEnd w:id="8"/>
    </w:p>
    <w:p w14:paraId="3571D68A" w14:textId="026E542F" w:rsidR="00F47FEC" w:rsidRDefault="00F47FEC" w:rsidP="00F47FEC">
      <w:pPr>
        <w:pStyle w:val="Reference"/>
        <w:numPr>
          <w:ilvl w:val="0"/>
          <w:numId w:val="1"/>
        </w:numPr>
        <w:overflowPunct/>
        <w:autoSpaceDE/>
        <w:autoSpaceDN/>
        <w:adjustRightInd/>
        <w:spacing w:after="200" w:line="276" w:lineRule="auto"/>
        <w:jc w:val="left"/>
        <w:textAlignment w:val="auto"/>
      </w:pPr>
      <w:r>
        <w:rPr>
          <w:lang w:val="en-US"/>
        </w:rPr>
        <w:t>R</w:t>
      </w:r>
      <w:r>
        <w:t>P-152284, “New Work Item: Narrow</w:t>
      </w:r>
      <w:r w:rsidR="00AA3840">
        <w:t>b</w:t>
      </w:r>
      <w:r>
        <w:t>and IOT (NB-IOT),” source Huawei and</w:t>
      </w:r>
      <w:r w:rsidRPr="00F47FEC">
        <w:t xml:space="preserve"> HiSilicon</w:t>
      </w:r>
      <w:r>
        <w:t>, RAN #70, Dec. 2015.</w:t>
      </w:r>
    </w:p>
    <w:p w14:paraId="5D3730BA" w14:textId="3F34E1B8" w:rsidR="00F40989" w:rsidRDefault="00D778A5" w:rsidP="00AE588B">
      <w:pPr>
        <w:pStyle w:val="Reference"/>
        <w:numPr>
          <w:ilvl w:val="0"/>
          <w:numId w:val="1"/>
        </w:numPr>
        <w:overflowPunct/>
        <w:autoSpaceDE/>
        <w:autoSpaceDN/>
        <w:adjustRightInd/>
        <w:spacing w:after="200" w:line="276" w:lineRule="auto"/>
        <w:jc w:val="left"/>
        <w:textAlignment w:val="auto"/>
      </w:pPr>
      <w:r>
        <w:t>Y.-P. E. Wang and R. Ramesh, “To bite or not to bite - a study of tail bits versus tail-biting”, Proc. Seventh IEEE International Symposium on Personal, Indoor, and Mobile Radio Communication, October, 1996.</w:t>
      </w:r>
    </w:p>
    <w:p w14:paraId="334DCB33" w14:textId="09C608A8" w:rsidR="00102B71" w:rsidRPr="00252674" w:rsidRDefault="00252674" w:rsidP="00252674">
      <w:pPr>
        <w:pStyle w:val="ListParagraph"/>
        <w:numPr>
          <w:ilvl w:val="0"/>
          <w:numId w:val="1"/>
        </w:numPr>
      </w:pPr>
      <w:r w:rsidRPr="00252674">
        <w:t>3GPP TS 36.212, “Evolved Universal Terrestrial Radio Access (E-UTRA); Multiplexing and channel coding,” Dec. 2014, v.12.3.0</w:t>
      </w:r>
      <w:bookmarkEnd w:id="9"/>
      <w:r>
        <w:t>.</w:t>
      </w:r>
      <w:bookmarkStart w:id="10" w:name="_GoBack"/>
      <w:bookmarkEnd w:id="10"/>
    </w:p>
    <w:sectPr w:rsidR="00102B71" w:rsidRPr="00252674"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54C90" w14:textId="77777777" w:rsidR="005E4904" w:rsidRDefault="005E4904">
      <w:pPr>
        <w:spacing w:after="0"/>
      </w:pPr>
      <w:r>
        <w:separator/>
      </w:r>
    </w:p>
  </w:endnote>
  <w:endnote w:type="continuationSeparator" w:id="0">
    <w:p w14:paraId="7C7D2CA1" w14:textId="77777777" w:rsidR="005E4904" w:rsidRDefault="005E4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71C05" w:rsidRDefault="00171C05">
    <w:pPr>
      <w:pStyle w:val="Footer"/>
      <w:ind w:right="-1521"/>
    </w:pPr>
    <w:r>
      <w:rPr>
        <w:rStyle w:val="PageNumber"/>
      </w:rPr>
      <w:fldChar w:fldCharType="begin"/>
    </w:r>
    <w:r>
      <w:rPr>
        <w:rStyle w:val="PageNumber"/>
      </w:rPr>
      <w:instrText xml:space="preserve"> PAGE </w:instrText>
    </w:r>
    <w:r>
      <w:rPr>
        <w:rStyle w:val="PageNumber"/>
      </w:rPr>
      <w:fldChar w:fldCharType="separate"/>
    </w:r>
    <w:r w:rsidR="00B83895">
      <w:rPr>
        <w:rStyle w:val="PageNumber"/>
      </w:rPr>
      <w:t>6</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895">
      <w:rPr>
        <w:rStyle w:val="PageNumber"/>
      </w:rPr>
      <w:t>6</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71C05" w:rsidRDefault="00171C05">
    <w:pPr>
      <w:pStyle w:val="Footer"/>
    </w:pPr>
    <w:r>
      <w:rPr>
        <w:rStyle w:val="PageNumber"/>
      </w:rPr>
      <w:fldChar w:fldCharType="begin"/>
    </w:r>
    <w:r>
      <w:rPr>
        <w:rStyle w:val="PageNumber"/>
      </w:rPr>
      <w:instrText xml:space="preserve"> PAGE </w:instrText>
    </w:r>
    <w:r>
      <w:rPr>
        <w:rStyle w:val="PageNumber"/>
      </w:rPr>
      <w:fldChar w:fldCharType="separate"/>
    </w:r>
    <w:r w:rsidR="00B838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895">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A7830" w14:textId="77777777" w:rsidR="005E4904" w:rsidRDefault="005E4904">
      <w:pPr>
        <w:spacing w:after="0"/>
      </w:pPr>
      <w:r>
        <w:separator/>
      </w:r>
    </w:p>
  </w:footnote>
  <w:footnote w:type="continuationSeparator" w:id="0">
    <w:p w14:paraId="0E03A863" w14:textId="77777777" w:rsidR="005E4904" w:rsidRDefault="005E49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171C05" w:rsidRPr="006A0FC7" w:rsidRDefault="00171C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171C05" w:rsidRPr="00BF30DA" w:rsidRDefault="00171C05"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lvlText w:val="[%1]"/>
      <w:lvlJc w:val="left"/>
      <w:pPr>
        <w:tabs>
          <w:tab w:val="num" w:pos="360"/>
        </w:tabs>
        <w:ind w:left="360" w:hanging="360"/>
      </w:pPr>
    </w:lvl>
  </w:abstractNum>
  <w:abstractNum w:abstractNumId="5">
    <w:nsid w:val="21416AD8"/>
    <w:multiLevelType w:val="hybridMultilevel"/>
    <w:tmpl w:val="9DAEAD3E"/>
    <w:lvl w:ilvl="0" w:tplc="99E8D3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F26DAF"/>
    <w:multiLevelType w:val="hybridMultilevel"/>
    <w:tmpl w:val="5AFCE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1"/>
  </w:num>
  <w:num w:numId="4">
    <w:abstractNumId w:val="1"/>
  </w:num>
  <w:num w:numId="5">
    <w:abstractNumId w:val="6"/>
  </w:num>
  <w:num w:numId="6">
    <w:abstractNumId w:val="10"/>
  </w:num>
  <w:num w:numId="7">
    <w:abstractNumId w:val="17"/>
  </w:num>
  <w:num w:numId="8">
    <w:abstractNumId w:val="7"/>
  </w:num>
  <w:num w:numId="9">
    <w:abstractNumId w:val="9"/>
  </w:num>
  <w:num w:numId="10">
    <w:abstractNumId w:val="8"/>
  </w:num>
  <w:num w:numId="11">
    <w:abstractNumId w:val="13"/>
  </w:num>
  <w:num w:numId="12">
    <w:abstractNumId w:val="12"/>
  </w:num>
  <w:num w:numId="13">
    <w:abstractNumId w:val="18"/>
  </w:num>
  <w:num w:numId="14">
    <w:abstractNumId w:val="11"/>
  </w:num>
  <w:num w:numId="15">
    <w:abstractNumId w:val="14"/>
  </w:num>
  <w:num w:numId="16">
    <w:abstractNumId w:val="2"/>
  </w:num>
  <w:num w:numId="17">
    <w:abstractNumId w:val="16"/>
  </w:num>
  <w:num w:numId="18">
    <w:abstractNumId w:val="3"/>
  </w:num>
  <w:num w:numId="19">
    <w:abstractNumId w:val="15"/>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7B9"/>
    <w:rsid w:val="00024429"/>
    <w:rsid w:val="0002572A"/>
    <w:rsid w:val="00027311"/>
    <w:rsid w:val="00027D60"/>
    <w:rsid w:val="00031103"/>
    <w:rsid w:val="00035879"/>
    <w:rsid w:val="00036AAB"/>
    <w:rsid w:val="00042044"/>
    <w:rsid w:val="00042761"/>
    <w:rsid w:val="00042A4F"/>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24C0"/>
    <w:rsid w:val="0006596D"/>
    <w:rsid w:val="000668DB"/>
    <w:rsid w:val="00067182"/>
    <w:rsid w:val="0007045A"/>
    <w:rsid w:val="000721FC"/>
    <w:rsid w:val="00072382"/>
    <w:rsid w:val="00073A24"/>
    <w:rsid w:val="00074D6C"/>
    <w:rsid w:val="000803A9"/>
    <w:rsid w:val="00080800"/>
    <w:rsid w:val="00081CA2"/>
    <w:rsid w:val="000857F2"/>
    <w:rsid w:val="00087350"/>
    <w:rsid w:val="0008796B"/>
    <w:rsid w:val="00091A7F"/>
    <w:rsid w:val="00093C23"/>
    <w:rsid w:val="00093FC2"/>
    <w:rsid w:val="00094EAC"/>
    <w:rsid w:val="00096C16"/>
    <w:rsid w:val="00097F75"/>
    <w:rsid w:val="000A105F"/>
    <w:rsid w:val="000A207F"/>
    <w:rsid w:val="000A29C6"/>
    <w:rsid w:val="000A33B5"/>
    <w:rsid w:val="000A4FF9"/>
    <w:rsid w:val="000A51A1"/>
    <w:rsid w:val="000A6510"/>
    <w:rsid w:val="000B1A6A"/>
    <w:rsid w:val="000B2C9C"/>
    <w:rsid w:val="000B31DD"/>
    <w:rsid w:val="000B3334"/>
    <w:rsid w:val="000B462B"/>
    <w:rsid w:val="000B484A"/>
    <w:rsid w:val="000B4C2A"/>
    <w:rsid w:val="000B53C1"/>
    <w:rsid w:val="000B5B8E"/>
    <w:rsid w:val="000C0BE5"/>
    <w:rsid w:val="000C18F3"/>
    <w:rsid w:val="000C2715"/>
    <w:rsid w:val="000C3C4D"/>
    <w:rsid w:val="000C527F"/>
    <w:rsid w:val="000C583D"/>
    <w:rsid w:val="000C7570"/>
    <w:rsid w:val="000C7F06"/>
    <w:rsid w:val="000D00D7"/>
    <w:rsid w:val="000D036A"/>
    <w:rsid w:val="000D451A"/>
    <w:rsid w:val="000D4529"/>
    <w:rsid w:val="000D4A89"/>
    <w:rsid w:val="000D4E16"/>
    <w:rsid w:val="000E0248"/>
    <w:rsid w:val="000E114A"/>
    <w:rsid w:val="000E29C3"/>
    <w:rsid w:val="000E2D68"/>
    <w:rsid w:val="000E2DED"/>
    <w:rsid w:val="000E334E"/>
    <w:rsid w:val="000E34C8"/>
    <w:rsid w:val="000E3586"/>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041"/>
    <w:rsid w:val="001203AA"/>
    <w:rsid w:val="00125368"/>
    <w:rsid w:val="001254C4"/>
    <w:rsid w:val="00126EAB"/>
    <w:rsid w:val="00127535"/>
    <w:rsid w:val="00130ED8"/>
    <w:rsid w:val="001311CC"/>
    <w:rsid w:val="0013241F"/>
    <w:rsid w:val="00132BF6"/>
    <w:rsid w:val="001354B2"/>
    <w:rsid w:val="00135EB8"/>
    <w:rsid w:val="00140C24"/>
    <w:rsid w:val="001421A8"/>
    <w:rsid w:val="00142231"/>
    <w:rsid w:val="00142630"/>
    <w:rsid w:val="00142768"/>
    <w:rsid w:val="0014582C"/>
    <w:rsid w:val="0014605C"/>
    <w:rsid w:val="00146EC4"/>
    <w:rsid w:val="00147E0D"/>
    <w:rsid w:val="00151C32"/>
    <w:rsid w:val="00152595"/>
    <w:rsid w:val="001547A1"/>
    <w:rsid w:val="0015500D"/>
    <w:rsid w:val="001562B9"/>
    <w:rsid w:val="00157573"/>
    <w:rsid w:val="00157601"/>
    <w:rsid w:val="0015771F"/>
    <w:rsid w:val="0016019B"/>
    <w:rsid w:val="00160AA0"/>
    <w:rsid w:val="00161281"/>
    <w:rsid w:val="00161EB7"/>
    <w:rsid w:val="001636B7"/>
    <w:rsid w:val="00166DF7"/>
    <w:rsid w:val="00167432"/>
    <w:rsid w:val="00170486"/>
    <w:rsid w:val="0017094F"/>
    <w:rsid w:val="00171C05"/>
    <w:rsid w:val="00171F87"/>
    <w:rsid w:val="00172587"/>
    <w:rsid w:val="00172588"/>
    <w:rsid w:val="001726EA"/>
    <w:rsid w:val="0017281E"/>
    <w:rsid w:val="001738F4"/>
    <w:rsid w:val="00174542"/>
    <w:rsid w:val="00174768"/>
    <w:rsid w:val="00177929"/>
    <w:rsid w:val="0018252D"/>
    <w:rsid w:val="0018259F"/>
    <w:rsid w:val="00182960"/>
    <w:rsid w:val="001839DA"/>
    <w:rsid w:val="00183F42"/>
    <w:rsid w:val="00184118"/>
    <w:rsid w:val="00184232"/>
    <w:rsid w:val="00184BE0"/>
    <w:rsid w:val="001852C0"/>
    <w:rsid w:val="00185B5F"/>
    <w:rsid w:val="00186D84"/>
    <w:rsid w:val="0018745C"/>
    <w:rsid w:val="00190C7B"/>
    <w:rsid w:val="00191B11"/>
    <w:rsid w:val="00194A90"/>
    <w:rsid w:val="00197701"/>
    <w:rsid w:val="001A0E97"/>
    <w:rsid w:val="001A3ADC"/>
    <w:rsid w:val="001A7B67"/>
    <w:rsid w:val="001B07BC"/>
    <w:rsid w:val="001B16EC"/>
    <w:rsid w:val="001B3005"/>
    <w:rsid w:val="001B32BE"/>
    <w:rsid w:val="001B5230"/>
    <w:rsid w:val="001B58B6"/>
    <w:rsid w:val="001C004F"/>
    <w:rsid w:val="001C1F12"/>
    <w:rsid w:val="001C34B5"/>
    <w:rsid w:val="001C4936"/>
    <w:rsid w:val="001C6000"/>
    <w:rsid w:val="001C68B2"/>
    <w:rsid w:val="001C7D09"/>
    <w:rsid w:val="001D06AC"/>
    <w:rsid w:val="001D07A5"/>
    <w:rsid w:val="001D0FC8"/>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122A"/>
    <w:rsid w:val="001F3714"/>
    <w:rsid w:val="001F39B2"/>
    <w:rsid w:val="001F3F4B"/>
    <w:rsid w:val="001F4253"/>
    <w:rsid w:val="001F454A"/>
    <w:rsid w:val="001F5990"/>
    <w:rsid w:val="001F651E"/>
    <w:rsid w:val="001F6DF3"/>
    <w:rsid w:val="001F6E69"/>
    <w:rsid w:val="001F756D"/>
    <w:rsid w:val="001F7623"/>
    <w:rsid w:val="002025E0"/>
    <w:rsid w:val="0020329A"/>
    <w:rsid w:val="0020459E"/>
    <w:rsid w:val="002063BA"/>
    <w:rsid w:val="00206BFE"/>
    <w:rsid w:val="002116AB"/>
    <w:rsid w:val="0021523D"/>
    <w:rsid w:val="002177DE"/>
    <w:rsid w:val="002204EA"/>
    <w:rsid w:val="0022072E"/>
    <w:rsid w:val="00220E5C"/>
    <w:rsid w:val="00223950"/>
    <w:rsid w:val="00224545"/>
    <w:rsid w:val="00224F96"/>
    <w:rsid w:val="00225036"/>
    <w:rsid w:val="00225A4C"/>
    <w:rsid w:val="00226321"/>
    <w:rsid w:val="00230E69"/>
    <w:rsid w:val="00232CFF"/>
    <w:rsid w:val="00234070"/>
    <w:rsid w:val="00234B6E"/>
    <w:rsid w:val="002351BF"/>
    <w:rsid w:val="00235772"/>
    <w:rsid w:val="00235B22"/>
    <w:rsid w:val="00235E4A"/>
    <w:rsid w:val="00236C13"/>
    <w:rsid w:val="0023778C"/>
    <w:rsid w:val="00237F4E"/>
    <w:rsid w:val="00244E12"/>
    <w:rsid w:val="0024698E"/>
    <w:rsid w:val="00247898"/>
    <w:rsid w:val="00252674"/>
    <w:rsid w:val="002531AA"/>
    <w:rsid w:val="002533A6"/>
    <w:rsid w:val="00253B9E"/>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DC9"/>
    <w:rsid w:val="002818AC"/>
    <w:rsid w:val="00281BFA"/>
    <w:rsid w:val="00284083"/>
    <w:rsid w:val="00285772"/>
    <w:rsid w:val="002860F4"/>
    <w:rsid w:val="00287364"/>
    <w:rsid w:val="00287516"/>
    <w:rsid w:val="00287D33"/>
    <w:rsid w:val="00291AA4"/>
    <w:rsid w:val="00292A88"/>
    <w:rsid w:val="0029480F"/>
    <w:rsid w:val="002951FC"/>
    <w:rsid w:val="002A1CBA"/>
    <w:rsid w:val="002A4A3B"/>
    <w:rsid w:val="002A5A3A"/>
    <w:rsid w:val="002A5DC6"/>
    <w:rsid w:val="002A6373"/>
    <w:rsid w:val="002B07C7"/>
    <w:rsid w:val="002B1095"/>
    <w:rsid w:val="002B11BE"/>
    <w:rsid w:val="002B2C10"/>
    <w:rsid w:val="002B368A"/>
    <w:rsid w:val="002B3AE8"/>
    <w:rsid w:val="002B44D8"/>
    <w:rsid w:val="002B4986"/>
    <w:rsid w:val="002B5026"/>
    <w:rsid w:val="002B56F8"/>
    <w:rsid w:val="002B783E"/>
    <w:rsid w:val="002C1E40"/>
    <w:rsid w:val="002C3811"/>
    <w:rsid w:val="002C39D5"/>
    <w:rsid w:val="002C6DB8"/>
    <w:rsid w:val="002D14F3"/>
    <w:rsid w:val="002D3252"/>
    <w:rsid w:val="002D3E31"/>
    <w:rsid w:val="002D42F3"/>
    <w:rsid w:val="002D43CF"/>
    <w:rsid w:val="002D4EAD"/>
    <w:rsid w:val="002D5B4C"/>
    <w:rsid w:val="002E04A3"/>
    <w:rsid w:val="002E499D"/>
    <w:rsid w:val="002F3FAE"/>
    <w:rsid w:val="002F4CA7"/>
    <w:rsid w:val="002F6BC2"/>
    <w:rsid w:val="002F756D"/>
    <w:rsid w:val="003000EB"/>
    <w:rsid w:val="00300AC8"/>
    <w:rsid w:val="003013DF"/>
    <w:rsid w:val="0030654E"/>
    <w:rsid w:val="0031167A"/>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2A8C"/>
    <w:rsid w:val="00332C78"/>
    <w:rsid w:val="00335026"/>
    <w:rsid w:val="003379B0"/>
    <w:rsid w:val="00340E5F"/>
    <w:rsid w:val="0034618D"/>
    <w:rsid w:val="0034674D"/>
    <w:rsid w:val="00347E2E"/>
    <w:rsid w:val="00351F34"/>
    <w:rsid w:val="00352334"/>
    <w:rsid w:val="003526DC"/>
    <w:rsid w:val="0035309F"/>
    <w:rsid w:val="00353DCF"/>
    <w:rsid w:val="00355478"/>
    <w:rsid w:val="003558AF"/>
    <w:rsid w:val="00355DC7"/>
    <w:rsid w:val="003578EB"/>
    <w:rsid w:val="00357C52"/>
    <w:rsid w:val="0036159C"/>
    <w:rsid w:val="003625B9"/>
    <w:rsid w:val="00362B1B"/>
    <w:rsid w:val="00363049"/>
    <w:rsid w:val="00366F31"/>
    <w:rsid w:val="00367A0D"/>
    <w:rsid w:val="003706ED"/>
    <w:rsid w:val="00371E8A"/>
    <w:rsid w:val="00371EAE"/>
    <w:rsid w:val="0037332C"/>
    <w:rsid w:val="00374BE6"/>
    <w:rsid w:val="0038104D"/>
    <w:rsid w:val="003810E8"/>
    <w:rsid w:val="0038138F"/>
    <w:rsid w:val="00382067"/>
    <w:rsid w:val="00383CE6"/>
    <w:rsid w:val="00384695"/>
    <w:rsid w:val="0038496E"/>
    <w:rsid w:val="00384D96"/>
    <w:rsid w:val="003858E4"/>
    <w:rsid w:val="00385AAD"/>
    <w:rsid w:val="003876CE"/>
    <w:rsid w:val="00390692"/>
    <w:rsid w:val="0039083F"/>
    <w:rsid w:val="00397304"/>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5666"/>
    <w:rsid w:val="003B7801"/>
    <w:rsid w:val="003C3120"/>
    <w:rsid w:val="003C456B"/>
    <w:rsid w:val="003C4C8D"/>
    <w:rsid w:val="003C72EE"/>
    <w:rsid w:val="003C7E0D"/>
    <w:rsid w:val="003D15A1"/>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033"/>
    <w:rsid w:val="003F614C"/>
    <w:rsid w:val="003F6C3A"/>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4004"/>
    <w:rsid w:val="00414321"/>
    <w:rsid w:val="00414D8B"/>
    <w:rsid w:val="00414F7A"/>
    <w:rsid w:val="00414F92"/>
    <w:rsid w:val="00420193"/>
    <w:rsid w:val="004204E5"/>
    <w:rsid w:val="0042059A"/>
    <w:rsid w:val="00420701"/>
    <w:rsid w:val="00420745"/>
    <w:rsid w:val="00421F27"/>
    <w:rsid w:val="00422D08"/>
    <w:rsid w:val="00425B94"/>
    <w:rsid w:val="00427DC8"/>
    <w:rsid w:val="00434528"/>
    <w:rsid w:val="004373A6"/>
    <w:rsid w:val="004375FE"/>
    <w:rsid w:val="00437704"/>
    <w:rsid w:val="00440089"/>
    <w:rsid w:val="00440F45"/>
    <w:rsid w:val="004414AC"/>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57D0C"/>
    <w:rsid w:val="00461015"/>
    <w:rsid w:val="00461F41"/>
    <w:rsid w:val="00462325"/>
    <w:rsid w:val="004626F7"/>
    <w:rsid w:val="00462753"/>
    <w:rsid w:val="00464786"/>
    <w:rsid w:val="00464A7E"/>
    <w:rsid w:val="00465078"/>
    <w:rsid w:val="0046507A"/>
    <w:rsid w:val="00466096"/>
    <w:rsid w:val="00467279"/>
    <w:rsid w:val="00472397"/>
    <w:rsid w:val="0047268E"/>
    <w:rsid w:val="004731EA"/>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4A6D"/>
    <w:rsid w:val="004C4BDC"/>
    <w:rsid w:val="004C519C"/>
    <w:rsid w:val="004C51B7"/>
    <w:rsid w:val="004D21D7"/>
    <w:rsid w:val="004D4135"/>
    <w:rsid w:val="004D7226"/>
    <w:rsid w:val="004E181A"/>
    <w:rsid w:val="004E2FC3"/>
    <w:rsid w:val="004E33AA"/>
    <w:rsid w:val="004E3C80"/>
    <w:rsid w:val="004E532F"/>
    <w:rsid w:val="004E72A1"/>
    <w:rsid w:val="004F118D"/>
    <w:rsid w:val="004F3C24"/>
    <w:rsid w:val="004F434A"/>
    <w:rsid w:val="004F4C94"/>
    <w:rsid w:val="004F5E5F"/>
    <w:rsid w:val="004F756F"/>
    <w:rsid w:val="005001A3"/>
    <w:rsid w:val="005007BF"/>
    <w:rsid w:val="005029B2"/>
    <w:rsid w:val="005036DA"/>
    <w:rsid w:val="00503BE3"/>
    <w:rsid w:val="005052C9"/>
    <w:rsid w:val="00505420"/>
    <w:rsid w:val="00506961"/>
    <w:rsid w:val="00511F61"/>
    <w:rsid w:val="0051496C"/>
    <w:rsid w:val="00514B79"/>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30CE6"/>
    <w:rsid w:val="00531E00"/>
    <w:rsid w:val="00532C41"/>
    <w:rsid w:val="00533201"/>
    <w:rsid w:val="00534B00"/>
    <w:rsid w:val="005374AC"/>
    <w:rsid w:val="0053773A"/>
    <w:rsid w:val="005377F6"/>
    <w:rsid w:val="0054190F"/>
    <w:rsid w:val="00541C4C"/>
    <w:rsid w:val="00543232"/>
    <w:rsid w:val="00543F98"/>
    <w:rsid w:val="0054763B"/>
    <w:rsid w:val="00551F8F"/>
    <w:rsid w:val="00552309"/>
    <w:rsid w:val="0055496A"/>
    <w:rsid w:val="00554EA5"/>
    <w:rsid w:val="00557491"/>
    <w:rsid w:val="0055777F"/>
    <w:rsid w:val="005579F6"/>
    <w:rsid w:val="00560250"/>
    <w:rsid w:val="0056106B"/>
    <w:rsid w:val="005613B5"/>
    <w:rsid w:val="00561795"/>
    <w:rsid w:val="00566C01"/>
    <w:rsid w:val="00567A42"/>
    <w:rsid w:val="005708A8"/>
    <w:rsid w:val="00573F6F"/>
    <w:rsid w:val="005753F0"/>
    <w:rsid w:val="00580B24"/>
    <w:rsid w:val="00581643"/>
    <w:rsid w:val="00582D4B"/>
    <w:rsid w:val="005849A7"/>
    <w:rsid w:val="00585266"/>
    <w:rsid w:val="005865BB"/>
    <w:rsid w:val="00586A0F"/>
    <w:rsid w:val="005902D9"/>
    <w:rsid w:val="00591229"/>
    <w:rsid w:val="005939CA"/>
    <w:rsid w:val="00594E36"/>
    <w:rsid w:val="00595EA5"/>
    <w:rsid w:val="005969F9"/>
    <w:rsid w:val="00596E2F"/>
    <w:rsid w:val="00596F14"/>
    <w:rsid w:val="00597F88"/>
    <w:rsid w:val="005A0A6F"/>
    <w:rsid w:val="005A28E5"/>
    <w:rsid w:val="005A2929"/>
    <w:rsid w:val="005A4773"/>
    <w:rsid w:val="005A4EAA"/>
    <w:rsid w:val="005A532D"/>
    <w:rsid w:val="005A53DB"/>
    <w:rsid w:val="005A6E8F"/>
    <w:rsid w:val="005A7BD4"/>
    <w:rsid w:val="005B0BBC"/>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ABB"/>
    <w:rsid w:val="005D4C96"/>
    <w:rsid w:val="005D4CAA"/>
    <w:rsid w:val="005D61B2"/>
    <w:rsid w:val="005D7A04"/>
    <w:rsid w:val="005D7D54"/>
    <w:rsid w:val="005E08FB"/>
    <w:rsid w:val="005E29AA"/>
    <w:rsid w:val="005E35B0"/>
    <w:rsid w:val="005E4904"/>
    <w:rsid w:val="005E6B50"/>
    <w:rsid w:val="005E6F1D"/>
    <w:rsid w:val="005F03D4"/>
    <w:rsid w:val="005F2532"/>
    <w:rsid w:val="005F3967"/>
    <w:rsid w:val="005F3A8D"/>
    <w:rsid w:val="005F400D"/>
    <w:rsid w:val="005F5031"/>
    <w:rsid w:val="005F5353"/>
    <w:rsid w:val="005F603E"/>
    <w:rsid w:val="005F62B1"/>
    <w:rsid w:val="0060058D"/>
    <w:rsid w:val="006005FD"/>
    <w:rsid w:val="00600FE0"/>
    <w:rsid w:val="00602457"/>
    <w:rsid w:val="0060264B"/>
    <w:rsid w:val="00602F6E"/>
    <w:rsid w:val="0060550A"/>
    <w:rsid w:val="006072EA"/>
    <w:rsid w:val="0061342F"/>
    <w:rsid w:val="00613D7E"/>
    <w:rsid w:val="0061407C"/>
    <w:rsid w:val="006147C9"/>
    <w:rsid w:val="00615A64"/>
    <w:rsid w:val="00615AE4"/>
    <w:rsid w:val="00616001"/>
    <w:rsid w:val="006166E4"/>
    <w:rsid w:val="006170D2"/>
    <w:rsid w:val="0062197D"/>
    <w:rsid w:val="00621A6E"/>
    <w:rsid w:val="00622075"/>
    <w:rsid w:val="00623176"/>
    <w:rsid w:val="006231CB"/>
    <w:rsid w:val="0062374F"/>
    <w:rsid w:val="00624196"/>
    <w:rsid w:val="00625078"/>
    <w:rsid w:val="0062509D"/>
    <w:rsid w:val="0062533B"/>
    <w:rsid w:val="00625EF2"/>
    <w:rsid w:val="00625F80"/>
    <w:rsid w:val="00627089"/>
    <w:rsid w:val="00627996"/>
    <w:rsid w:val="00631256"/>
    <w:rsid w:val="00631F2F"/>
    <w:rsid w:val="006326F1"/>
    <w:rsid w:val="00633193"/>
    <w:rsid w:val="0063438C"/>
    <w:rsid w:val="00637A2C"/>
    <w:rsid w:val="00637BFA"/>
    <w:rsid w:val="00637CDC"/>
    <w:rsid w:val="00642468"/>
    <w:rsid w:val="00642959"/>
    <w:rsid w:val="00645AAE"/>
    <w:rsid w:val="00645F42"/>
    <w:rsid w:val="00647610"/>
    <w:rsid w:val="00652482"/>
    <w:rsid w:val="00652686"/>
    <w:rsid w:val="0065320B"/>
    <w:rsid w:val="006537C9"/>
    <w:rsid w:val="006564F5"/>
    <w:rsid w:val="00656CEB"/>
    <w:rsid w:val="006572DB"/>
    <w:rsid w:val="00657589"/>
    <w:rsid w:val="00657B8A"/>
    <w:rsid w:val="00660027"/>
    <w:rsid w:val="00662906"/>
    <w:rsid w:val="006644C6"/>
    <w:rsid w:val="006646E2"/>
    <w:rsid w:val="00674442"/>
    <w:rsid w:val="00674ACF"/>
    <w:rsid w:val="00676297"/>
    <w:rsid w:val="0067637D"/>
    <w:rsid w:val="00683F57"/>
    <w:rsid w:val="006843DD"/>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572"/>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4D90"/>
    <w:rsid w:val="006D4FC7"/>
    <w:rsid w:val="006D64FA"/>
    <w:rsid w:val="006D6865"/>
    <w:rsid w:val="006D70FF"/>
    <w:rsid w:val="006D76CD"/>
    <w:rsid w:val="006E1680"/>
    <w:rsid w:val="006E1967"/>
    <w:rsid w:val="006E321C"/>
    <w:rsid w:val="006E4216"/>
    <w:rsid w:val="006F1C29"/>
    <w:rsid w:val="006F289B"/>
    <w:rsid w:val="006F2C3A"/>
    <w:rsid w:val="006F3289"/>
    <w:rsid w:val="006F384E"/>
    <w:rsid w:val="006F3D21"/>
    <w:rsid w:val="006F3DD4"/>
    <w:rsid w:val="006F4F4E"/>
    <w:rsid w:val="006F61BE"/>
    <w:rsid w:val="006F678D"/>
    <w:rsid w:val="006F6B2B"/>
    <w:rsid w:val="0070108F"/>
    <w:rsid w:val="007021B6"/>
    <w:rsid w:val="00702264"/>
    <w:rsid w:val="0070296D"/>
    <w:rsid w:val="007042AA"/>
    <w:rsid w:val="007058B7"/>
    <w:rsid w:val="00706DFC"/>
    <w:rsid w:val="007116FE"/>
    <w:rsid w:val="00712912"/>
    <w:rsid w:val="00713109"/>
    <w:rsid w:val="00713C99"/>
    <w:rsid w:val="00715EF6"/>
    <w:rsid w:val="00716472"/>
    <w:rsid w:val="0071670B"/>
    <w:rsid w:val="00721B29"/>
    <w:rsid w:val="00721E7C"/>
    <w:rsid w:val="00721F22"/>
    <w:rsid w:val="00725EF5"/>
    <w:rsid w:val="00726BE5"/>
    <w:rsid w:val="007278A9"/>
    <w:rsid w:val="007345DF"/>
    <w:rsid w:val="0073488B"/>
    <w:rsid w:val="00736CC6"/>
    <w:rsid w:val="00736D17"/>
    <w:rsid w:val="00740405"/>
    <w:rsid w:val="00740EA2"/>
    <w:rsid w:val="00741459"/>
    <w:rsid w:val="007419EC"/>
    <w:rsid w:val="00741A88"/>
    <w:rsid w:val="00741BB0"/>
    <w:rsid w:val="00743188"/>
    <w:rsid w:val="007433CD"/>
    <w:rsid w:val="00744C89"/>
    <w:rsid w:val="00744E0C"/>
    <w:rsid w:val="00744F6F"/>
    <w:rsid w:val="007452AE"/>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E29"/>
    <w:rsid w:val="00774294"/>
    <w:rsid w:val="00774B87"/>
    <w:rsid w:val="00774EE4"/>
    <w:rsid w:val="00774FB0"/>
    <w:rsid w:val="00775B33"/>
    <w:rsid w:val="007844BE"/>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4603"/>
    <w:rsid w:val="007C4D1A"/>
    <w:rsid w:val="007D01E5"/>
    <w:rsid w:val="007D09BB"/>
    <w:rsid w:val="007D0DD5"/>
    <w:rsid w:val="007D19C6"/>
    <w:rsid w:val="007D549A"/>
    <w:rsid w:val="007D649A"/>
    <w:rsid w:val="007D7C3E"/>
    <w:rsid w:val="007E027B"/>
    <w:rsid w:val="007E0E28"/>
    <w:rsid w:val="007E174F"/>
    <w:rsid w:val="007E18CE"/>
    <w:rsid w:val="007E1AAB"/>
    <w:rsid w:val="007E2208"/>
    <w:rsid w:val="007E23D9"/>
    <w:rsid w:val="007E4849"/>
    <w:rsid w:val="007E7D3F"/>
    <w:rsid w:val="007F1C84"/>
    <w:rsid w:val="007F36C8"/>
    <w:rsid w:val="007F3A50"/>
    <w:rsid w:val="007F4772"/>
    <w:rsid w:val="007F63DD"/>
    <w:rsid w:val="007F7A85"/>
    <w:rsid w:val="00800105"/>
    <w:rsid w:val="00800251"/>
    <w:rsid w:val="0080210E"/>
    <w:rsid w:val="00802872"/>
    <w:rsid w:val="00802A0A"/>
    <w:rsid w:val="0080385F"/>
    <w:rsid w:val="00803D62"/>
    <w:rsid w:val="008048E5"/>
    <w:rsid w:val="00806C04"/>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5601"/>
    <w:rsid w:val="0083685F"/>
    <w:rsid w:val="00837339"/>
    <w:rsid w:val="0083744D"/>
    <w:rsid w:val="00841D94"/>
    <w:rsid w:val="00844A23"/>
    <w:rsid w:val="00845A36"/>
    <w:rsid w:val="00847AA7"/>
    <w:rsid w:val="008517E1"/>
    <w:rsid w:val="00851BCB"/>
    <w:rsid w:val="00855EEF"/>
    <w:rsid w:val="00857659"/>
    <w:rsid w:val="00860504"/>
    <w:rsid w:val="00862056"/>
    <w:rsid w:val="0086315C"/>
    <w:rsid w:val="008647B5"/>
    <w:rsid w:val="00864CBC"/>
    <w:rsid w:val="00865B3F"/>
    <w:rsid w:val="0086661F"/>
    <w:rsid w:val="0086694B"/>
    <w:rsid w:val="00867A19"/>
    <w:rsid w:val="00867D81"/>
    <w:rsid w:val="0087092A"/>
    <w:rsid w:val="0087150A"/>
    <w:rsid w:val="0087211E"/>
    <w:rsid w:val="008741BC"/>
    <w:rsid w:val="00874A56"/>
    <w:rsid w:val="00875CF8"/>
    <w:rsid w:val="008814B9"/>
    <w:rsid w:val="0088393A"/>
    <w:rsid w:val="00885946"/>
    <w:rsid w:val="00885C46"/>
    <w:rsid w:val="00890DA4"/>
    <w:rsid w:val="00892F8A"/>
    <w:rsid w:val="0089426E"/>
    <w:rsid w:val="008948D4"/>
    <w:rsid w:val="00895096"/>
    <w:rsid w:val="008955E2"/>
    <w:rsid w:val="00896EA4"/>
    <w:rsid w:val="00897546"/>
    <w:rsid w:val="008A002B"/>
    <w:rsid w:val="008A1FB3"/>
    <w:rsid w:val="008A255F"/>
    <w:rsid w:val="008A2B76"/>
    <w:rsid w:val="008A42AD"/>
    <w:rsid w:val="008A4D9B"/>
    <w:rsid w:val="008A52D3"/>
    <w:rsid w:val="008A54D6"/>
    <w:rsid w:val="008A65DF"/>
    <w:rsid w:val="008A7199"/>
    <w:rsid w:val="008A788A"/>
    <w:rsid w:val="008B2F7C"/>
    <w:rsid w:val="008B2FB4"/>
    <w:rsid w:val="008B51C1"/>
    <w:rsid w:val="008B535B"/>
    <w:rsid w:val="008B79A5"/>
    <w:rsid w:val="008C03B4"/>
    <w:rsid w:val="008C055E"/>
    <w:rsid w:val="008C1BF6"/>
    <w:rsid w:val="008C3D7F"/>
    <w:rsid w:val="008C3EDE"/>
    <w:rsid w:val="008C4C33"/>
    <w:rsid w:val="008C5353"/>
    <w:rsid w:val="008C7D9E"/>
    <w:rsid w:val="008D21C5"/>
    <w:rsid w:val="008D32F9"/>
    <w:rsid w:val="008D3AC4"/>
    <w:rsid w:val="008D3CC2"/>
    <w:rsid w:val="008D3E27"/>
    <w:rsid w:val="008D586A"/>
    <w:rsid w:val="008D5AC1"/>
    <w:rsid w:val="008D615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8F24FD"/>
    <w:rsid w:val="0090068E"/>
    <w:rsid w:val="00900A45"/>
    <w:rsid w:val="00900D2C"/>
    <w:rsid w:val="00901C5D"/>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520F"/>
    <w:rsid w:val="00945A79"/>
    <w:rsid w:val="00950EF8"/>
    <w:rsid w:val="00951444"/>
    <w:rsid w:val="00952014"/>
    <w:rsid w:val="0095743E"/>
    <w:rsid w:val="009623A6"/>
    <w:rsid w:val="00963176"/>
    <w:rsid w:val="00963D1F"/>
    <w:rsid w:val="00964308"/>
    <w:rsid w:val="00964587"/>
    <w:rsid w:val="00964B1D"/>
    <w:rsid w:val="00965F1F"/>
    <w:rsid w:val="00966430"/>
    <w:rsid w:val="009700FD"/>
    <w:rsid w:val="00970763"/>
    <w:rsid w:val="00970975"/>
    <w:rsid w:val="009711E2"/>
    <w:rsid w:val="009734A6"/>
    <w:rsid w:val="009749A8"/>
    <w:rsid w:val="00976970"/>
    <w:rsid w:val="00976D4F"/>
    <w:rsid w:val="009779A0"/>
    <w:rsid w:val="0098034C"/>
    <w:rsid w:val="0098630E"/>
    <w:rsid w:val="00986A5E"/>
    <w:rsid w:val="00990218"/>
    <w:rsid w:val="00990549"/>
    <w:rsid w:val="00991230"/>
    <w:rsid w:val="009927B8"/>
    <w:rsid w:val="00993B07"/>
    <w:rsid w:val="00994C26"/>
    <w:rsid w:val="009968EE"/>
    <w:rsid w:val="00996B1C"/>
    <w:rsid w:val="009977AB"/>
    <w:rsid w:val="009A0482"/>
    <w:rsid w:val="009A06C4"/>
    <w:rsid w:val="009A33D8"/>
    <w:rsid w:val="009A34B1"/>
    <w:rsid w:val="009A353A"/>
    <w:rsid w:val="009A4878"/>
    <w:rsid w:val="009A5449"/>
    <w:rsid w:val="009A59C4"/>
    <w:rsid w:val="009B0F58"/>
    <w:rsid w:val="009B24A2"/>
    <w:rsid w:val="009B3549"/>
    <w:rsid w:val="009B3C67"/>
    <w:rsid w:val="009B3CA7"/>
    <w:rsid w:val="009B41B2"/>
    <w:rsid w:val="009B4ECD"/>
    <w:rsid w:val="009B5FBE"/>
    <w:rsid w:val="009B72B5"/>
    <w:rsid w:val="009B777D"/>
    <w:rsid w:val="009B7EF6"/>
    <w:rsid w:val="009C259F"/>
    <w:rsid w:val="009C32E6"/>
    <w:rsid w:val="009C3448"/>
    <w:rsid w:val="009C38EB"/>
    <w:rsid w:val="009C423A"/>
    <w:rsid w:val="009C4EC3"/>
    <w:rsid w:val="009C6D7D"/>
    <w:rsid w:val="009C7248"/>
    <w:rsid w:val="009D189D"/>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9F6578"/>
    <w:rsid w:val="00A00805"/>
    <w:rsid w:val="00A00C54"/>
    <w:rsid w:val="00A01289"/>
    <w:rsid w:val="00A0258F"/>
    <w:rsid w:val="00A03E08"/>
    <w:rsid w:val="00A041A9"/>
    <w:rsid w:val="00A07085"/>
    <w:rsid w:val="00A10A53"/>
    <w:rsid w:val="00A1175D"/>
    <w:rsid w:val="00A117BE"/>
    <w:rsid w:val="00A11D4E"/>
    <w:rsid w:val="00A13085"/>
    <w:rsid w:val="00A13DA3"/>
    <w:rsid w:val="00A13FE7"/>
    <w:rsid w:val="00A15670"/>
    <w:rsid w:val="00A22C6A"/>
    <w:rsid w:val="00A232C1"/>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3F48"/>
    <w:rsid w:val="00A543F4"/>
    <w:rsid w:val="00A546B8"/>
    <w:rsid w:val="00A54972"/>
    <w:rsid w:val="00A54DEC"/>
    <w:rsid w:val="00A5544B"/>
    <w:rsid w:val="00A5549C"/>
    <w:rsid w:val="00A55ECB"/>
    <w:rsid w:val="00A579F8"/>
    <w:rsid w:val="00A57B57"/>
    <w:rsid w:val="00A60353"/>
    <w:rsid w:val="00A619D8"/>
    <w:rsid w:val="00A6251F"/>
    <w:rsid w:val="00A62C43"/>
    <w:rsid w:val="00A64943"/>
    <w:rsid w:val="00A653F3"/>
    <w:rsid w:val="00A66CEE"/>
    <w:rsid w:val="00A675B4"/>
    <w:rsid w:val="00A67E15"/>
    <w:rsid w:val="00A70C5E"/>
    <w:rsid w:val="00A7225A"/>
    <w:rsid w:val="00A72D1F"/>
    <w:rsid w:val="00A779CA"/>
    <w:rsid w:val="00A813C4"/>
    <w:rsid w:val="00A82521"/>
    <w:rsid w:val="00A82ABE"/>
    <w:rsid w:val="00A86F59"/>
    <w:rsid w:val="00A871A3"/>
    <w:rsid w:val="00A87787"/>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3840"/>
    <w:rsid w:val="00AA455F"/>
    <w:rsid w:val="00AA53E5"/>
    <w:rsid w:val="00AA5E49"/>
    <w:rsid w:val="00AA6809"/>
    <w:rsid w:val="00AB01D5"/>
    <w:rsid w:val="00AB07FF"/>
    <w:rsid w:val="00AB16D9"/>
    <w:rsid w:val="00AB19A5"/>
    <w:rsid w:val="00AB3514"/>
    <w:rsid w:val="00AB41A5"/>
    <w:rsid w:val="00AB4FF0"/>
    <w:rsid w:val="00AB5A0B"/>
    <w:rsid w:val="00AB7E38"/>
    <w:rsid w:val="00AC0185"/>
    <w:rsid w:val="00AC0199"/>
    <w:rsid w:val="00AC0670"/>
    <w:rsid w:val="00AC097F"/>
    <w:rsid w:val="00AC0CAA"/>
    <w:rsid w:val="00AC70EA"/>
    <w:rsid w:val="00AC7E8C"/>
    <w:rsid w:val="00AD2D89"/>
    <w:rsid w:val="00AD43DC"/>
    <w:rsid w:val="00AE002C"/>
    <w:rsid w:val="00AE0EAD"/>
    <w:rsid w:val="00AE29F7"/>
    <w:rsid w:val="00AE4236"/>
    <w:rsid w:val="00AE480C"/>
    <w:rsid w:val="00AE51B0"/>
    <w:rsid w:val="00AE588B"/>
    <w:rsid w:val="00AE591A"/>
    <w:rsid w:val="00AE7F3B"/>
    <w:rsid w:val="00AF259B"/>
    <w:rsid w:val="00AF31A5"/>
    <w:rsid w:val="00AF3225"/>
    <w:rsid w:val="00AF3D5A"/>
    <w:rsid w:val="00AF6593"/>
    <w:rsid w:val="00AF712B"/>
    <w:rsid w:val="00B01547"/>
    <w:rsid w:val="00B01889"/>
    <w:rsid w:val="00B02B08"/>
    <w:rsid w:val="00B0348F"/>
    <w:rsid w:val="00B059BD"/>
    <w:rsid w:val="00B05B69"/>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3BEE"/>
    <w:rsid w:val="00B24C34"/>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3139"/>
    <w:rsid w:val="00B53E85"/>
    <w:rsid w:val="00B53F0F"/>
    <w:rsid w:val="00B547E5"/>
    <w:rsid w:val="00B54837"/>
    <w:rsid w:val="00B54C9E"/>
    <w:rsid w:val="00B5556A"/>
    <w:rsid w:val="00B560AA"/>
    <w:rsid w:val="00B56E3D"/>
    <w:rsid w:val="00B57A30"/>
    <w:rsid w:val="00B61ED5"/>
    <w:rsid w:val="00B63086"/>
    <w:rsid w:val="00B67DC9"/>
    <w:rsid w:val="00B7299D"/>
    <w:rsid w:val="00B7385F"/>
    <w:rsid w:val="00B74EDD"/>
    <w:rsid w:val="00B75411"/>
    <w:rsid w:val="00B756D9"/>
    <w:rsid w:val="00B762E9"/>
    <w:rsid w:val="00B80490"/>
    <w:rsid w:val="00B80578"/>
    <w:rsid w:val="00B82E1E"/>
    <w:rsid w:val="00B82F92"/>
    <w:rsid w:val="00B83895"/>
    <w:rsid w:val="00B86834"/>
    <w:rsid w:val="00B86897"/>
    <w:rsid w:val="00B91541"/>
    <w:rsid w:val="00B92219"/>
    <w:rsid w:val="00B9399D"/>
    <w:rsid w:val="00B94DAE"/>
    <w:rsid w:val="00B978C6"/>
    <w:rsid w:val="00BA11F0"/>
    <w:rsid w:val="00BA13A3"/>
    <w:rsid w:val="00BA1C0F"/>
    <w:rsid w:val="00BA2129"/>
    <w:rsid w:val="00BA2827"/>
    <w:rsid w:val="00BA3761"/>
    <w:rsid w:val="00BA4E90"/>
    <w:rsid w:val="00BA54D0"/>
    <w:rsid w:val="00BA5B76"/>
    <w:rsid w:val="00BA6C68"/>
    <w:rsid w:val="00BA7161"/>
    <w:rsid w:val="00BB0066"/>
    <w:rsid w:val="00BB1568"/>
    <w:rsid w:val="00BB2910"/>
    <w:rsid w:val="00BB3016"/>
    <w:rsid w:val="00BB368C"/>
    <w:rsid w:val="00BB39B5"/>
    <w:rsid w:val="00BB6B7A"/>
    <w:rsid w:val="00BB74CD"/>
    <w:rsid w:val="00BB7985"/>
    <w:rsid w:val="00BC14C3"/>
    <w:rsid w:val="00BC1CBA"/>
    <w:rsid w:val="00BC1D4E"/>
    <w:rsid w:val="00BC2B68"/>
    <w:rsid w:val="00BC3AEA"/>
    <w:rsid w:val="00BC4859"/>
    <w:rsid w:val="00BC4AD8"/>
    <w:rsid w:val="00BC4B8D"/>
    <w:rsid w:val="00BC5470"/>
    <w:rsid w:val="00BC55DF"/>
    <w:rsid w:val="00BC575F"/>
    <w:rsid w:val="00BC6F10"/>
    <w:rsid w:val="00BC753F"/>
    <w:rsid w:val="00BC781E"/>
    <w:rsid w:val="00BC7E81"/>
    <w:rsid w:val="00BD0BF3"/>
    <w:rsid w:val="00BD19FE"/>
    <w:rsid w:val="00BD1DC3"/>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7735"/>
    <w:rsid w:val="00BF7DEE"/>
    <w:rsid w:val="00C03D8A"/>
    <w:rsid w:val="00C05A4D"/>
    <w:rsid w:val="00C06B72"/>
    <w:rsid w:val="00C06C6D"/>
    <w:rsid w:val="00C10807"/>
    <w:rsid w:val="00C108F7"/>
    <w:rsid w:val="00C1178C"/>
    <w:rsid w:val="00C136DA"/>
    <w:rsid w:val="00C139AF"/>
    <w:rsid w:val="00C151B5"/>
    <w:rsid w:val="00C15DA3"/>
    <w:rsid w:val="00C1622F"/>
    <w:rsid w:val="00C2030F"/>
    <w:rsid w:val="00C21572"/>
    <w:rsid w:val="00C215CE"/>
    <w:rsid w:val="00C264AE"/>
    <w:rsid w:val="00C271CB"/>
    <w:rsid w:val="00C27207"/>
    <w:rsid w:val="00C274A5"/>
    <w:rsid w:val="00C31E7E"/>
    <w:rsid w:val="00C32BEC"/>
    <w:rsid w:val="00C32E00"/>
    <w:rsid w:val="00C35FF3"/>
    <w:rsid w:val="00C40D77"/>
    <w:rsid w:val="00C4362F"/>
    <w:rsid w:val="00C44055"/>
    <w:rsid w:val="00C46124"/>
    <w:rsid w:val="00C46ABE"/>
    <w:rsid w:val="00C5158D"/>
    <w:rsid w:val="00C5161E"/>
    <w:rsid w:val="00C54B8E"/>
    <w:rsid w:val="00C557F9"/>
    <w:rsid w:val="00C56CFE"/>
    <w:rsid w:val="00C57D97"/>
    <w:rsid w:val="00C601F3"/>
    <w:rsid w:val="00C60387"/>
    <w:rsid w:val="00C619B7"/>
    <w:rsid w:val="00C61AF2"/>
    <w:rsid w:val="00C61E0D"/>
    <w:rsid w:val="00C63025"/>
    <w:rsid w:val="00C63573"/>
    <w:rsid w:val="00C63872"/>
    <w:rsid w:val="00C642B4"/>
    <w:rsid w:val="00C64E99"/>
    <w:rsid w:val="00C6550E"/>
    <w:rsid w:val="00C66C03"/>
    <w:rsid w:val="00C66CB0"/>
    <w:rsid w:val="00C66D74"/>
    <w:rsid w:val="00C6766C"/>
    <w:rsid w:val="00C678D0"/>
    <w:rsid w:val="00C7237D"/>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90C"/>
    <w:rsid w:val="00C937D7"/>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EEF"/>
    <w:rsid w:val="00CC5FEC"/>
    <w:rsid w:val="00CD0C86"/>
    <w:rsid w:val="00CD10D7"/>
    <w:rsid w:val="00CD2FDC"/>
    <w:rsid w:val="00CD33AF"/>
    <w:rsid w:val="00CD4CC6"/>
    <w:rsid w:val="00CD7F35"/>
    <w:rsid w:val="00CE032A"/>
    <w:rsid w:val="00CE0BC2"/>
    <w:rsid w:val="00CE1EB6"/>
    <w:rsid w:val="00CE3CF9"/>
    <w:rsid w:val="00CE42C7"/>
    <w:rsid w:val="00CE50F7"/>
    <w:rsid w:val="00CE76DE"/>
    <w:rsid w:val="00CF0985"/>
    <w:rsid w:val="00CF406D"/>
    <w:rsid w:val="00CF5C38"/>
    <w:rsid w:val="00CF693D"/>
    <w:rsid w:val="00CF6EA4"/>
    <w:rsid w:val="00D027C4"/>
    <w:rsid w:val="00D03E61"/>
    <w:rsid w:val="00D04275"/>
    <w:rsid w:val="00D045AF"/>
    <w:rsid w:val="00D0752F"/>
    <w:rsid w:val="00D075B0"/>
    <w:rsid w:val="00D07E43"/>
    <w:rsid w:val="00D102BF"/>
    <w:rsid w:val="00D1130E"/>
    <w:rsid w:val="00D12234"/>
    <w:rsid w:val="00D1289F"/>
    <w:rsid w:val="00D138FB"/>
    <w:rsid w:val="00D13E68"/>
    <w:rsid w:val="00D15371"/>
    <w:rsid w:val="00D15415"/>
    <w:rsid w:val="00D17873"/>
    <w:rsid w:val="00D207FE"/>
    <w:rsid w:val="00D22A9C"/>
    <w:rsid w:val="00D24299"/>
    <w:rsid w:val="00D306B4"/>
    <w:rsid w:val="00D30BF6"/>
    <w:rsid w:val="00D315D9"/>
    <w:rsid w:val="00D31CCC"/>
    <w:rsid w:val="00D3474C"/>
    <w:rsid w:val="00D36A9A"/>
    <w:rsid w:val="00D37234"/>
    <w:rsid w:val="00D37A98"/>
    <w:rsid w:val="00D40C39"/>
    <w:rsid w:val="00D429D7"/>
    <w:rsid w:val="00D43574"/>
    <w:rsid w:val="00D439C6"/>
    <w:rsid w:val="00D45E82"/>
    <w:rsid w:val="00D4600C"/>
    <w:rsid w:val="00D47ECA"/>
    <w:rsid w:val="00D50EC0"/>
    <w:rsid w:val="00D5314D"/>
    <w:rsid w:val="00D54324"/>
    <w:rsid w:val="00D5441B"/>
    <w:rsid w:val="00D548D6"/>
    <w:rsid w:val="00D56098"/>
    <w:rsid w:val="00D5682F"/>
    <w:rsid w:val="00D57B31"/>
    <w:rsid w:val="00D651BE"/>
    <w:rsid w:val="00D65E01"/>
    <w:rsid w:val="00D66A83"/>
    <w:rsid w:val="00D67318"/>
    <w:rsid w:val="00D71D98"/>
    <w:rsid w:val="00D7289E"/>
    <w:rsid w:val="00D74C26"/>
    <w:rsid w:val="00D7527C"/>
    <w:rsid w:val="00D7594C"/>
    <w:rsid w:val="00D778A5"/>
    <w:rsid w:val="00D80458"/>
    <w:rsid w:val="00D81065"/>
    <w:rsid w:val="00D814D8"/>
    <w:rsid w:val="00D82507"/>
    <w:rsid w:val="00D9053A"/>
    <w:rsid w:val="00D90EF4"/>
    <w:rsid w:val="00D928E7"/>
    <w:rsid w:val="00D92984"/>
    <w:rsid w:val="00D92CF7"/>
    <w:rsid w:val="00D9457D"/>
    <w:rsid w:val="00D94721"/>
    <w:rsid w:val="00D95AE0"/>
    <w:rsid w:val="00D96F37"/>
    <w:rsid w:val="00D97974"/>
    <w:rsid w:val="00DA1A02"/>
    <w:rsid w:val="00DA2742"/>
    <w:rsid w:val="00DA29FE"/>
    <w:rsid w:val="00DA3754"/>
    <w:rsid w:val="00DA3CD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F7A"/>
    <w:rsid w:val="00DC6EC7"/>
    <w:rsid w:val="00DC7553"/>
    <w:rsid w:val="00DD0097"/>
    <w:rsid w:val="00DD1560"/>
    <w:rsid w:val="00DD2156"/>
    <w:rsid w:val="00DD2460"/>
    <w:rsid w:val="00DD3391"/>
    <w:rsid w:val="00DD406A"/>
    <w:rsid w:val="00DD5381"/>
    <w:rsid w:val="00DD66B3"/>
    <w:rsid w:val="00DD7B80"/>
    <w:rsid w:val="00DD7DFA"/>
    <w:rsid w:val="00DE0DA6"/>
    <w:rsid w:val="00DE2BD4"/>
    <w:rsid w:val="00DE32CE"/>
    <w:rsid w:val="00DE35EB"/>
    <w:rsid w:val="00DE3C38"/>
    <w:rsid w:val="00DE48BD"/>
    <w:rsid w:val="00DF098F"/>
    <w:rsid w:val="00DF438D"/>
    <w:rsid w:val="00E01159"/>
    <w:rsid w:val="00E0181E"/>
    <w:rsid w:val="00E042B7"/>
    <w:rsid w:val="00E05F99"/>
    <w:rsid w:val="00E06073"/>
    <w:rsid w:val="00E06960"/>
    <w:rsid w:val="00E07950"/>
    <w:rsid w:val="00E11922"/>
    <w:rsid w:val="00E132EC"/>
    <w:rsid w:val="00E15682"/>
    <w:rsid w:val="00E16EB3"/>
    <w:rsid w:val="00E17AD2"/>
    <w:rsid w:val="00E208EA"/>
    <w:rsid w:val="00E20963"/>
    <w:rsid w:val="00E20EBB"/>
    <w:rsid w:val="00E21EED"/>
    <w:rsid w:val="00E2289B"/>
    <w:rsid w:val="00E23010"/>
    <w:rsid w:val="00E237E1"/>
    <w:rsid w:val="00E239D3"/>
    <w:rsid w:val="00E23B60"/>
    <w:rsid w:val="00E26004"/>
    <w:rsid w:val="00E271F0"/>
    <w:rsid w:val="00E30345"/>
    <w:rsid w:val="00E304F1"/>
    <w:rsid w:val="00E328CC"/>
    <w:rsid w:val="00E36764"/>
    <w:rsid w:val="00E36E51"/>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387F"/>
    <w:rsid w:val="00E850E8"/>
    <w:rsid w:val="00E8535D"/>
    <w:rsid w:val="00E85AD0"/>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22D4"/>
    <w:rsid w:val="00EB3B77"/>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49B8"/>
    <w:rsid w:val="00ED4E41"/>
    <w:rsid w:val="00ED4EA0"/>
    <w:rsid w:val="00ED509E"/>
    <w:rsid w:val="00ED5226"/>
    <w:rsid w:val="00ED6531"/>
    <w:rsid w:val="00ED7E49"/>
    <w:rsid w:val="00ED7EB7"/>
    <w:rsid w:val="00EE0DBB"/>
    <w:rsid w:val="00EE1782"/>
    <w:rsid w:val="00EE2F5B"/>
    <w:rsid w:val="00EE3D52"/>
    <w:rsid w:val="00EE4363"/>
    <w:rsid w:val="00EE473D"/>
    <w:rsid w:val="00EE732B"/>
    <w:rsid w:val="00EE744D"/>
    <w:rsid w:val="00EE7B60"/>
    <w:rsid w:val="00EF3895"/>
    <w:rsid w:val="00EF3B77"/>
    <w:rsid w:val="00EF6BD5"/>
    <w:rsid w:val="00EF7093"/>
    <w:rsid w:val="00EF71D2"/>
    <w:rsid w:val="00F00275"/>
    <w:rsid w:val="00F00A2C"/>
    <w:rsid w:val="00F01569"/>
    <w:rsid w:val="00F01B8A"/>
    <w:rsid w:val="00F0235E"/>
    <w:rsid w:val="00F03BB8"/>
    <w:rsid w:val="00F03D77"/>
    <w:rsid w:val="00F0407F"/>
    <w:rsid w:val="00F040B2"/>
    <w:rsid w:val="00F04447"/>
    <w:rsid w:val="00F061DF"/>
    <w:rsid w:val="00F06823"/>
    <w:rsid w:val="00F06C51"/>
    <w:rsid w:val="00F1222E"/>
    <w:rsid w:val="00F12428"/>
    <w:rsid w:val="00F12A50"/>
    <w:rsid w:val="00F13DFA"/>
    <w:rsid w:val="00F159CA"/>
    <w:rsid w:val="00F177B8"/>
    <w:rsid w:val="00F2086F"/>
    <w:rsid w:val="00F2103C"/>
    <w:rsid w:val="00F228D1"/>
    <w:rsid w:val="00F24429"/>
    <w:rsid w:val="00F25CB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59E5"/>
    <w:rsid w:val="00F46E16"/>
    <w:rsid w:val="00F47FEC"/>
    <w:rsid w:val="00F5137F"/>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9769E"/>
    <w:rsid w:val="00FA0190"/>
    <w:rsid w:val="00FA0B26"/>
    <w:rsid w:val="00FA2080"/>
    <w:rsid w:val="00FA20DC"/>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5713"/>
    <w:rsid w:val="00FC57CF"/>
    <w:rsid w:val="00FC64AA"/>
    <w:rsid w:val="00FC69A8"/>
    <w:rsid w:val="00FD1084"/>
    <w:rsid w:val="00FD1243"/>
    <w:rsid w:val="00FD1717"/>
    <w:rsid w:val="00FD18A8"/>
    <w:rsid w:val="00FD1A24"/>
    <w:rsid w:val="00FD1D04"/>
    <w:rsid w:val="00FD29B4"/>
    <w:rsid w:val="00FD32D1"/>
    <w:rsid w:val="00FD34FB"/>
    <w:rsid w:val="00FD64B2"/>
    <w:rsid w:val="00FD664B"/>
    <w:rsid w:val="00FE04E7"/>
    <w:rsid w:val="00FE1ABE"/>
    <w:rsid w:val="00FE2070"/>
    <w:rsid w:val="00FE3396"/>
    <w:rsid w:val="00FE368E"/>
    <w:rsid w:val="00FE36AE"/>
    <w:rsid w:val="00FF0567"/>
    <w:rsid w:val="00FF2390"/>
    <w:rsid w:val="00FF284F"/>
    <w:rsid w:val="00FF318E"/>
    <w:rsid w:val="00FF3E58"/>
    <w:rsid w:val="00FF4323"/>
    <w:rsid w:val="00FF4FC0"/>
    <w:rsid w:val="00FF5236"/>
    <w:rsid w:val="00FF5E72"/>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BC47F-3B31-47EF-8030-7AE221F9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71</cp:revision>
  <cp:lastPrinted>2015-07-20T19:34:00Z</cp:lastPrinted>
  <dcterms:created xsi:type="dcterms:W3CDTF">2015-12-07T17:38:00Z</dcterms:created>
  <dcterms:modified xsi:type="dcterms:W3CDTF">2016-01-12T06:29:00Z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